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F30F39">
            <w:pPr>
              <w:rPr>
                <w:rFonts w:ascii="Arial" w:hAnsi="Arial"/>
                <w:b/>
                <w:bCs/>
                <w:rtl/>
              </w:rPr>
            </w:pPr>
            <w:r>
              <w:rPr>
                <w:rFonts w:ascii="Arial" w:hAnsi="Arial" w:hint="cs"/>
                <w:b/>
                <w:bCs/>
                <w:rtl/>
              </w:rPr>
              <w:t>כב' השופט יהורם שקד</w:t>
            </w:r>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rPr>
            <w:alias w:val="1180"/>
            <w:tag w:val="1180"/>
            <w:id w:val="108787784"/>
            <w:placeholder>
              <w:docPart w:val="31A55F6979184A8EB6F607B634EEB644"/>
            </w:placeholder>
            <w:text w:multiLine="1"/>
          </w:sdtPr>
          <w:sdtEndPr/>
          <w:sdtContent>
            <w:tc>
              <w:tcPr>
                <w:tcW w:w="3249" w:type="dxa"/>
                <w:gridSpan w:val="2"/>
              </w:tcPr>
              <w:p w:rsidR="002914D6" w:rsidRPr="00653E60" w:rsidRDefault="00F30F39" w:rsidP="00B35CA3">
                <w:pPr>
                  <w:bidi w:val="0"/>
                  <w:jc w:val="right"/>
                  <w:rPr>
                    <w:rFonts w:ascii="Arial" w:hAnsi="Arial"/>
                    <w:b/>
                    <w:bCs/>
                    <w:noProof w:val="0"/>
                  </w:rPr>
                </w:pPr>
                <w:r w:rsidRPr="00653E60">
                  <w:rPr>
                    <w:rFonts w:ascii="Arial" w:hAnsi="Arial" w:hint="cs"/>
                    <w:b/>
                    <w:bCs/>
                    <w:noProof w:val="0"/>
                    <w:rtl/>
                  </w:rPr>
                  <w:t>ה</w:t>
                </w:r>
                <w:r w:rsidR="00B35CA3" w:rsidRPr="00653E60">
                  <w:rPr>
                    <w:rFonts w:ascii="Arial" w:hAnsi="Arial" w:hint="cs"/>
                    <w:b/>
                    <w:bCs/>
                    <w:noProof w:val="0"/>
                    <w:rtl/>
                  </w:rPr>
                  <w:t>תובע</w:t>
                </w:r>
                <w:r w:rsidRPr="00653E60">
                  <w:rPr>
                    <w:rFonts w:ascii="Arial" w:hAnsi="Arial" w:hint="cs"/>
                    <w:b/>
                    <w:bCs/>
                    <w:noProof w:val="0"/>
                    <w:rtl/>
                  </w:rPr>
                  <w:t>/הנתבע:</w:t>
                </w:r>
              </w:p>
            </w:tc>
          </w:sdtContent>
        </w:sdt>
        <w:tc>
          <w:tcPr>
            <w:tcW w:w="5571" w:type="dxa"/>
          </w:tcPr>
          <w:p w:rsidR="002914D6" w:rsidRPr="00653E60" w:rsidRDefault="00A9096B" w:rsidP="008C1714">
            <w:pPr>
              <w:rPr>
                <w:b/>
                <w:bCs/>
                <w:noProof w:val="0"/>
                <w:rtl/>
              </w:rPr>
            </w:pPr>
            <w:sdt>
              <w:sdtPr>
                <w:rPr>
                  <w:rFonts w:hint="cs"/>
                  <w:b/>
                  <w:bCs/>
                  <w:noProof w:val="0"/>
                  <w:rtl/>
                </w:rPr>
                <w:alias w:val="1478"/>
                <w:tag w:val="1478"/>
                <w:id w:val="614022805"/>
                <w:text w:multiLine="1"/>
              </w:sdtPr>
              <w:sdtEndPr/>
              <w:sdtContent>
                <w:r w:rsidR="008C1714">
                  <w:rPr>
                    <w:rStyle w:val="ac"/>
                    <w:rFonts w:hint="cs"/>
                    <w:b/>
                    <w:bCs/>
                    <w:color w:val="auto"/>
                    <w:rtl/>
                  </w:rPr>
                  <w:t>פלוני</w:t>
                </w:r>
              </w:sdtContent>
            </w:sdt>
            <w:r w:rsidR="00BD5B6B" w:rsidRPr="00653E60">
              <w:rPr>
                <w:rFonts w:hint="cs"/>
                <w:b/>
                <w:bCs/>
                <w:noProof w:val="0"/>
                <w:rtl/>
              </w:rPr>
              <w:t xml:space="preserve"> </w:t>
            </w:r>
            <w:sdt>
              <w:sdtPr>
                <w:rPr>
                  <w:rFonts w:hint="cs"/>
                  <w:b/>
                  <w:bCs/>
                  <w:noProof w:val="0"/>
                  <w:rtl/>
                </w:rPr>
                <w:alias w:val="2316"/>
                <w:tag w:val="2316"/>
                <w:id w:val="1507024034"/>
                <w:showingPlcHdr/>
                <w:text w:multiLine="1"/>
              </w:sdtPr>
              <w:sdtEndPr/>
              <w:sdtContent>
                <w:r w:rsidR="008C1714">
                  <w:rPr>
                    <w:b/>
                    <w:bCs/>
                    <w:noProof w:val="0"/>
                    <w:rtl/>
                  </w:rPr>
                  <w:t xml:space="preserve">     </w:t>
                </w:r>
              </w:sdtContent>
            </w:sdt>
          </w:p>
          <w:p w:rsidR="00653E60" w:rsidRPr="00653E60" w:rsidRDefault="00653E60" w:rsidP="00B35CA3">
            <w:pPr>
              <w:rPr>
                <w:b/>
                <w:bCs/>
                <w:noProof w:val="0"/>
              </w:rPr>
            </w:pPr>
            <w:r w:rsidRPr="00653E60">
              <w:rPr>
                <w:rFonts w:hint="cs"/>
                <w:b/>
                <w:bCs/>
                <w:noProof w:val="0"/>
                <w:rtl/>
              </w:rPr>
              <w:t>ע"י ב"כ עו"ד אסי גיזה</w:t>
            </w:r>
            <w:r w:rsidR="00C80B08">
              <w:rPr>
                <w:rFonts w:hint="cs"/>
                <w:b/>
                <w:bCs/>
                <w:noProof w:val="0"/>
                <w:rtl/>
              </w:rPr>
              <w:t xml:space="preserve"> ועו"ד קרין בר-כליפא</w:t>
            </w:r>
          </w:p>
        </w:tc>
      </w:tr>
      <w:tr w:rsidR="002914D6">
        <w:trPr>
          <w:jc w:val="center"/>
        </w:trPr>
        <w:tc>
          <w:tcPr>
            <w:tcW w:w="8820" w:type="dxa"/>
            <w:gridSpan w:val="3"/>
          </w:tcPr>
          <w:p w:rsidR="002914D6" w:rsidRPr="00653E60" w:rsidRDefault="002914D6">
            <w:pPr>
              <w:rPr>
                <w:rFonts w:ascii="Arial" w:hAnsi="Arial"/>
                <w:b/>
                <w:bCs/>
                <w:noProof w:val="0"/>
                <w:rtl/>
              </w:rPr>
            </w:pPr>
          </w:p>
          <w:p w:rsidR="002914D6" w:rsidRPr="00653E60" w:rsidRDefault="00011212">
            <w:pPr>
              <w:jc w:val="center"/>
              <w:rPr>
                <w:rFonts w:ascii="Arial" w:hAnsi="Arial"/>
                <w:b/>
                <w:bCs/>
                <w:noProof w:val="0"/>
                <w:rtl/>
              </w:rPr>
            </w:pPr>
            <w:r w:rsidRPr="00653E60">
              <w:rPr>
                <w:rFonts w:ascii="Arial" w:hAnsi="Arial"/>
                <w:b/>
                <w:bCs/>
                <w:noProof w:val="0"/>
                <w:rtl/>
              </w:rPr>
              <w:t>נגד</w:t>
            </w:r>
          </w:p>
          <w:p w:rsidR="002914D6" w:rsidRPr="00653E60" w:rsidRDefault="002914D6">
            <w:pPr>
              <w:rPr>
                <w:rFonts w:ascii="Arial" w:hAnsi="Arial"/>
                <w:b/>
                <w:bCs/>
                <w:noProof w:val="0"/>
              </w:rPr>
            </w:pPr>
          </w:p>
        </w:tc>
      </w:tr>
      <w:tr w:rsidR="002914D6">
        <w:trPr>
          <w:jc w:val="center"/>
        </w:trPr>
        <w:tc>
          <w:tcPr>
            <w:tcW w:w="3249" w:type="dxa"/>
            <w:gridSpan w:val="2"/>
          </w:tcPr>
          <w:p w:rsidR="002914D6" w:rsidRPr="00653E60" w:rsidRDefault="00A9096B">
            <w:pPr>
              <w:rPr>
                <w:rFonts w:ascii="Arial" w:hAnsi="Arial"/>
                <w:b/>
                <w:bCs/>
                <w:noProof w:val="0"/>
              </w:rPr>
            </w:pPr>
            <w:sdt>
              <w:sdtPr>
                <w:rPr>
                  <w:rtl/>
                </w:rPr>
                <w:alias w:val="1184"/>
                <w:tag w:val="1184"/>
                <w:id w:val="1218863978"/>
                <w:text w:multiLine="1"/>
              </w:sdtPr>
              <w:sdtEndPr/>
              <w:sdtContent>
                <w:r w:rsidR="00653E60" w:rsidRPr="00653E60">
                  <w:rPr>
                    <w:rFonts w:ascii="Arial" w:hAnsi="Arial" w:hint="cs"/>
                    <w:b/>
                    <w:bCs/>
                    <w:noProof w:val="0"/>
                    <w:rtl/>
                  </w:rPr>
                  <w:t>ה</w:t>
                </w:r>
                <w:r w:rsidR="00B35CA3" w:rsidRPr="00653E60">
                  <w:rPr>
                    <w:rFonts w:ascii="Arial" w:hAnsi="Arial"/>
                    <w:b/>
                    <w:bCs/>
                    <w:noProof w:val="0"/>
                    <w:rtl/>
                  </w:rPr>
                  <w:t>נתבע</w:t>
                </w:r>
                <w:r w:rsidR="00B35CA3" w:rsidRPr="00653E60">
                  <w:rPr>
                    <w:rFonts w:ascii="Arial" w:hAnsi="Arial" w:hint="cs"/>
                    <w:b/>
                    <w:bCs/>
                    <w:noProof w:val="0"/>
                    <w:rtl/>
                  </w:rPr>
                  <w:t>ת</w:t>
                </w:r>
                <w:r w:rsidR="00653E60" w:rsidRPr="00653E60">
                  <w:rPr>
                    <w:rFonts w:ascii="Arial" w:hAnsi="Arial" w:hint="cs"/>
                    <w:b/>
                    <w:bCs/>
                    <w:noProof w:val="0"/>
                    <w:rtl/>
                  </w:rPr>
                  <w:t>/התובעת:</w:t>
                </w:r>
              </w:sdtContent>
            </w:sdt>
          </w:p>
        </w:tc>
        <w:tc>
          <w:tcPr>
            <w:tcW w:w="5571" w:type="dxa"/>
          </w:tcPr>
          <w:p w:rsidR="002914D6" w:rsidRPr="00653E60" w:rsidRDefault="00A9096B" w:rsidP="008C1714">
            <w:pPr>
              <w:rPr>
                <w:b/>
                <w:bCs/>
                <w:noProof w:val="0"/>
                <w:rtl/>
              </w:rPr>
            </w:pPr>
            <w:sdt>
              <w:sdtPr>
                <w:rPr>
                  <w:rFonts w:hint="cs"/>
                  <w:b/>
                  <w:bCs/>
                  <w:noProof w:val="0"/>
                  <w:rtl/>
                </w:rPr>
                <w:alias w:val="1486"/>
                <w:tag w:val="1486"/>
                <w:id w:val="-1492704729"/>
                <w:text w:multiLine="1"/>
              </w:sdtPr>
              <w:sdtEndPr/>
              <w:sdtContent>
                <w:r w:rsidR="008C1714">
                  <w:rPr>
                    <w:rStyle w:val="ac"/>
                    <w:rFonts w:hint="cs"/>
                    <w:b/>
                    <w:bCs/>
                    <w:color w:val="auto"/>
                    <w:rtl/>
                  </w:rPr>
                  <w:t>פלונית</w:t>
                </w:r>
              </w:sdtContent>
            </w:sdt>
            <w:sdt>
              <w:sdtPr>
                <w:rPr>
                  <w:rFonts w:hint="cs"/>
                  <w:b/>
                  <w:bCs/>
                  <w:noProof w:val="0"/>
                  <w:rtl/>
                </w:rPr>
                <w:alias w:val="2317"/>
                <w:tag w:val="2317"/>
                <w:id w:val="413289519"/>
                <w:showingPlcHdr/>
                <w:text w:multiLine="1"/>
              </w:sdtPr>
              <w:sdtEndPr/>
              <w:sdtContent>
                <w:r w:rsidR="008C1714">
                  <w:rPr>
                    <w:b/>
                    <w:bCs/>
                    <w:noProof w:val="0"/>
                    <w:rtl/>
                  </w:rPr>
                  <w:t xml:space="preserve">     </w:t>
                </w:r>
              </w:sdtContent>
            </w:sdt>
            <w:sdt>
              <w:sdtPr>
                <w:rPr>
                  <w:b/>
                  <w:bCs/>
                  <w:noProof w:val="0"/>
                  <w:rtl/>
                </w:rPr>
                <w:alias w:val="2318"/>
                <w:tag w:val="2318"/>
                <w:id w:val="-946693399"/>
                <w:showingPlcHdr/>
                <w:text w:multiLine="1"/>
              </w:sdtPr>
              <w:sdtEndPr/>
              <w:sdtContent>
                <w:r w:rsidR="008C1714">
                  <w:rPr>
                    <w:b/>
                    <w:bCs/>
                    <w:noProof w:val="0"/>
                    <w:rtl/>
                  </w:rPr>
                  <w:t xml:space="preserve">     </w:t>
                </w:r>
              </w:sdtContent>
            </w:sdt>
          </w:p>
          <w:p w:rsidR="00653E60" w:rsidRPr="00653E60" w:rsidRDefault="00653E60" w:rsidP="00B35CA3">
            <w:pPr>
              <w:rPr>
                <w:b/>
                <w:bCs/>
                <w:noProof w:val="0"/>
                <w:rtl/>
              </w:rPr>
            </w:pPr>
            <w:r w:rsidRPr="00653E60">
              <w:rPr>
                <w:rFonts w:hint="cs"/>
                <w:b/>
                <w:bCs/>
                <w:noProof w:val="0"/>
                <w:rtl/>
              </w:rPr>
              <w:t>ע"י ב"כ עו"ד אבי גפן</w:t>
            </w: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B35CA3" w:rsidRDefault="00B35CA3" w:rsidP="00B35CA3">
      <w:pPr>
        <w:rPr>
          <w:rtl/>
        </w:rPr>
      </w:pPr>
    </w:p>
    <w:p w:rsidR="00B35CA3" w:rsidRDefault="00B35CA3" w:rsidP="008C1714">
      <w:pPr>
        <w:spacing w:line="360" w:lineRule="auto"/>
        <w:jc w:val="both"/>
        <w:rPr>
          <w:rFonts w:ascii="David" w:hAnsi="David"/>
          <w:rtl/>
        </w:rPr>
      </w:pPr>
      <w:r>
        <w:rPr>
          <w:rFonts w:ascii="David" w:hAnsi="David" w:hint="cs"/>
          <w:rtl/>
        </w:rPr>
        <w:t xml:space="preserve">לפני תביעת התובע לחיוב הנתבעת </w:t>
      </w:r>
      <w:r w:rsidR="00653E60">
        <w:rPr>
          <w:rFonts w:ascii="David" w:hAnsi="David" w:hint="cs"/>
          <w:rtl/>
        </w:rPr>
        <w:t xml:space="preserve">(להלן: </w:t>
      </w:r>
      <w:r w:rsidR="00653E60" w:rsidRPr="00DF266A">
        <w:rPr>
          <w:rFonts w:ascii="Miriam" w:hAnsi="Miriam" w:cs="Miriam"/>
          <w:b/>
          <w:bCs/>
          <w:sz w:val="20"/>
          <w:szCs w:val="20"/>
          <w:rtl/>
        </w:rPr>
        <w:t>ה</w:t>
      </w:r>
      <w:r w:rsidR="00F943ED" w:rsidRPr="00DF266A">
        <w:rPr>
          <w:rFonts w:ascii="Miriam" w:hAnsi="Miriam" w:cs="Miriam" w:hint="cs"/>
          <w:b/>
          <w:bCs/>
          <w:sz w:val="20"/>
          <w:szCs w:val="20"/>
          <w:rtl/>
        </w:rPr>
        <w:t>איש, ה</w:t>
      </w:r>
      <w:r w:rsidR="00653E60" w:rsidRPr="00DF266A">
        <w:rPr>
          <w:rFonts w:ascii="Miriam" w:hAnsi="Miriam" w:cs="Miriam"/>
          <w:b/>
          <w:bCs/>
          <w:sz w:val="20"/>
          <w:szCs w:val="20"/>
          <w:rtl/>
        </w:rPr>
        <w:t>אי</w:t>
      </w:r>
      <w:r w:rsidR="00653E60" w:rsidRPr="00DF266A">
        <w:rPr>
          <w:rFonts w:ascii="Miriam" w:hAnsi="Miriam" w:cs="Miriam" w:hint="cs"/>
          <w:b/>
          <w:bCs/>
          <w:sz w:val="20"/>
          <w:szCs w:val="20"/>
          <w:rtl/>
        </w:rPr>
        <w:t>שה</w:t>
      </w:r>
      <w:r w:rsidR="00653E60">
        <w:rPr>
          <w:rFonts w:ascii="David" w:hAnsi="David" w:hint="cs"/>
          <w:rtl/>
        </w:rPr>
        <w:t xml:space="preserve">) </w:t>
      </w:r>
      <w:r>
        <w:rPr>
          <w:rFonts w:ascii="David" w:hAnsi="David" w:hint="cs"/>
          <w:rtl/>
        </w:rPr>
        <w:t>בתשלום דמי שימוש ראויים ומנגד תביעת ה</w:t>
      </w:r>
      <w:r w:rsidR="00653E60">
        <w:rPr>
          <w:rFonts w:ascii="David" w:hAnsi="David" w:hint="cs"/>
          <w:rtl/>
        </w:rPr>
        <w:t>אשה</w:t>
      </w:r>
      <w:r>
        <w:rPr>
          <w:rFonts w:ascii="David" w:hAnsi="David" w:hint="cs"/>
          <w:rtl/>
        </w:rPr>
        <w:t xml:space="preserve"> לביטול הסכם פשרה שנחתם בין הצדדים ביום 8.6.2021 במסגרת הליכי הוצאה לפועל.</w:t>
      </w:r>
    </w:p>
    <w:p w:rsidR="00B35CA3" w:rsidRPr="00531820" w:rsidRDefault="00B35CA3" w:rsidP="00B35CA3">
      <w:pPr>
        <w:spacing w:line="360" w:lineRule="auto"/>
        <w:jc w:val="both"/>
        <w:rPr>
          <w:rFonts w:ascii="David" w:hAnsi="David"/>
          <w:sz w:val="16"/>
          <w:szCs w:val="16"/>
          <w:rtl/>
        </w:rPr>
      </w:pPr>
    </w:p>
    <w:p w:rsidR="00B35CA3" w:rsidRDefault="00653E60" w:rsidP="00653E60">
      <w:pPr>
        <w:spacing w:line="360" w:lineRule="auto"/>
        <w:jc w:val="both"/>
        <w:rPr>
          <w:rFonts w:ascii="David" w:hAnsi="David"/>
          <w:b/>
          <w:bCs/>
          <w:rtl/>
        </w:rPr>
      </w:pPr>
      <w:r>
        <w:rPr>
          <w:rFonts w:ascii="David" w:hAnsi="David" w:hint="cs"/>
          <w:b/>
          <w:bCs/>
          <w:rtl/>
        </w:rPr>
        <w:t xml:space="preserve">א' </w:t>
      </w:r>
      <w:r>
        <w:rPr>
          <w:rFonts w:ascii="David" w:hAnsi="David"/>
          <w:b/>
          <w:bCs/>
          <w:rtl/>
        </w:rPr>
        <w:t>–</w:t>
      </w:r>
      <w:r>
        <w:rPr>
          <w:rFonts w:ascii="David" w:hAnsi="David" w:hint="cs"/>
          <w:b/>
          <w:bCs/>
          <w:rtl/>
        </w:rPr>
        <w:t xml:space="preserve"> העובדות הצריכות לעניין: </w:t>
      </w:r>
    </w:p>
    <w:p w:rsidR="00653E60" w:rsidRPr="00531820" w:rsidRDefault="00653E60" w:rsidP="00B35CA3">
      <w:pPr>
        <w:spacing w:line="360" w:lineRule="auto"/>
        <w:jc w:val="both"/>
        <w:rPr>
          <w:rFonts w:ascii="David" w:hAnsi="David"/>
          <w:b/>
          <w:bCs/>
          <w:sz w:val="16"/>
          <w:szCs w:val="16"/>
          <w:rtl/>
        </w:rPr>
      </w:pPr>
    </w:p>
    <w:p w:rsidR="0028476B" w:rsidRPr="00745284" w:rsidRDefault="00B35CA3" w:rsidP="008C1714">
      <w:pPr>
        <w:pStyle w:val="ad"/>
        <w:numPr>
          <w:ilvl w:val="0"/>
          <w:numId w:val="1"/>
        </w:numPr>
        <w:spacing w:line="360" w:lineRule="auto"/>
        <w:ind w:left="567" w:hanging="567"/>
        <w:jc w:val="both"/>
        <w:rPr>
          <w:rFonts w:ascii="David" w:hAnsi="David"/>
        </w:rPr>
      </w:pPr>
      <w:r w:rsidRPr="005D3274">
        <w:rPr>
          <w:rFonts w:ascii="David" w:hAnsi="David" w:hint="cs"/>
          <w:rtl/>
        </w:rPr>
        <w:t xml:space="preserve">הצדדים בני זוג לשעבר </w:t>
      </w:r>
      <w:r w:rsidR="00653E60">
        <w:rPr>
          <w:rFonts w:ascii="David" w:hAnsi="David" w:hint="cs"/>
          <w:rtl/>
        </w:rPr>
        <w:t>ש</w:t>
      </w:r>
      <w:r w:rsidRPr="005D3274">
        <w:rPr>
          <w:rFonts w:ascii="David" w:hAnsi="David" w:hint="cs"/>
          <w:rtl/>
        </w:rPr>
        <w:t xml:space="preserve">נישאו </w:t>
      </w:r>
      <w:r w:rsidR="00653E60">
        <w:rPr>
          <w:rFonts w:ascii="David" w:hAnsi="David" w:hint="cs"/>
          <w:rtl/>
        </w:rPr>
        <w:t xml:space="preserve">זל"ז </w:t>
      </w:r>
      <w:r w:rsidRPr="005D3274">
        <w:rPr>
          <w:rFonts w:ascii="David" w:hAnsi="David" w:hint="cs"/>
          <w:rtl/>
        </w:rPr>
        <w:t>בשנת 1983</w:t>
      </w:r>
      <w:r w:rsidR="00992C09">
        <w:rPr>
          <w:rFonts w:ascii="David" w:hAnsi="David" w:hint="cs"/>
          <w:rtl/>
        </w:rPr>
        <w:t>,</w:t>
      </w:r>
      <w:r w:rsidRPr="005D3274">
        <w:rPr>
          <w:rFonts w:ascii="David" w:hAnsi="David" w:hint="cs"/>
          <w:rtl/>
        </w:rPr>
        <w:t xml:space="preserve"> </w:t>
      </w:r>
      <w:r w:rsidR="00653E60">
        <w:rPr>
          <w:rFonts w:ascii="David" w:hAnsi="David" w:hint="cs"/>
          <w:rtl/>
        </w:rPr>
        <w:t>התגרשו זמ"ז בשנת 2003 ולהם שלושה ילדים בגירים.</w:t>
      </w:r>
      <w:r w:rsidRPr="005D3274">
        <w:rPr>
          <w:rFonts w:ascii="David" w:hAnsi="David" w:hint="cs"/>
          <w:rtl/>
        </w:rPr>
        <w:t xml:space="preserve"> </w:t>
      </w:r>
      <w:r w:rsidR="00653E60">
        <w:rPr>
          <w:rFonts w:ascii="David" w:hAnsi="David" w:hint="cs"/>
          <w:rtl/>
        </w:rPr>
        <w:t xml:space="preserve">ביום 5.8.2003 חתמו הצדדים על הסכם גירושין, אשר אושר וניתן לו תוקף של פסק דין ביום 2.9.2003 (להלן: </w:t>
      </w:r>
      <w:r w:rsidR="00653E60" w:rsidRPr="00DF266A">
        <w:rPr>
          <w:rFonts w:ascii="Miriam" w:hAnsi="Miriam" w:cs="Miriam"/>
          <w:b/>
          <w:bCs/>
          <w:sz w:val="20"/>
          <w:szCs w:val="20"/>
          <w:rtl/>
        </w:rPr>
        <w:t>הסכם</w:t>
      </w:r>
      <w:r w:rsidR="0000467D" w:rsidRPr="00DF266A">
        <w:rPr>
          <w:rFonts w:ascii="Miriam" w:hAnsi="Miriam" w:cs="Miriam" w:hint="cs"/>
          <w:b/>
          <w:bCs/>
          <w:sz w:val="20"/>
          <w:szCs w:val="20"/>
          <w:rtl/>
        </w:rPr>
        <w:t xml:space="preserve"> הגירושין</w:t>
      </w:r>
      <w:r w:rsidR="00653E60" w:rsidRPr="00DF266A">
        <w:rPr>
          <w:rFonts w:ascii="Miriam" w:hAnsi="Miriam" w:cs="Miriam"/>
          <w:b/>
          <w:bCs/>
          <w:sz w:val="20"/>
          <w:szCs w:val="20"/>
          <w:rtl/>
        </w:rPr>
        <w:t>, פסק הדין</w:t>
      </w:r>
      <w:r w:rsidR="00653E60">
        <w:rPr>
          <w:rFonts w:ascii="David" w:hAnsi="David" w:hint="cs"/>
          <w:rtl/>
        </w:rPr>
        <w:t xml:space="preserve"> </w:t>
      </w:r>
      <w:r w:rsidR="00653E60">
        <w:rPr>
          <w:rFonts w:ascii="David" w:hAnsi="David"/>
          <w:rtl/>
        </w:rPr>
        <w:t>–</w:t>
      </w:r>
      <w:r w:rsidR="00653E60">
        <w:rPr>
          <w:rFonts w:ascii="David" w:hAnsi="David" w:hint="cs"/>
          <w:rtl/>
        </w:rPr>
        <w:t xml:space="preserve"> בהתאמה). </w:t>
      </w:r>
      <w:r w:rsidR="0028476B" w:rsidRPr="00745284">
        <w:rPr>
          <w:rFonts w:ascii="David" w:hAnsi="David" w:hint="cs"/>
          <w:rtl/>
        </w:rPr>
        <w:t xml:space="preserve">במסגרת ההסכם, נקבע - לענייננו - כי האשה תוסיף להתגורר בדירת המגורים המשותפת בתל אביב (להלן: </w:t>
      </w:r>
      <w:r w:rsidR="0028476B" w:rsidRPr="00DF266A">
        <w:rPr>
          <w:rFonts w:ascii="Miriam" w:hAnsi="Miriam" w:cs="Miriam"/>
          <w:b/>
          <w:bCs/>
          <w:sz w:val="20"/>
          <w:szCs w:val="20"/>
          <w:rtl/>
        </w:rPr>
        <w:t>ה</w:t>
      </w:r>
      <w:r w:rsidR="0028476B" w:rsidRPr="00DF266A">
        <w:rPr>
          <w:rFonts w:ascii="Miriam" w:hAnsi="Miriam" w:cs="Miriam" w:hint="cs"/>
          <w:b/>
          <w:bCs/>
          <w:sz w:val="20"/>
          <w:szCs w:val="20"/>
          <w:rtl/>
        </w:rPr>
        <w:t>דירה</w:t>
      </w:r>
      <w:r w:rsidR="0028476B" w:rsidRPr="00745284">
        <w:rPr>
          <w:rFonts w:ascii="Miriam" w:hAnsi="Miriam" w:cs="Miriam" w:hint="cs"/>
          <w:b/>
          <w:bCs/>
          <w:sz w:val="22"/>
          <w:szCs w:val="22"/>
          <w:rtl/>
        </w:rPr>
        <w:t>)</w:t>
      </w:r>
      <w:r w:rsidR="0028476B" w:rsidRPr="00745284">
        <w:rPr>
          <w:rFonts w:ascii="David" w:hAnsi="David" w:hint="cs"/>
          <w:rtl/>
        </w:rPr>
        <w:t xml:space="preserve"> עד הגיע הבת הצעירה לגיל 18 שנים (מועד זה חל ביום 16.5.2012)</w:t>
      </w:r>
      <w:r w:rsidR="009A5D85" w:rsidRPr="00745284">
        <w:rPr>
          <w:rFonts w:ascii="David" w:hAnsi="David" w:hint="cs"/>
          <w:rtl/>
        </w:rPr>
        <w:t>, שאז הדירה תוצא למכירה ותמורתה, בניכוי יתרת המשכנתא והוצאות המכירה, תחולק בין הצדדים בחלקים שווים, כאשר מתוך חלקו של ה</w:t>
      </w:r>
      <w:r w:rsidR="00DF266A">
        <w:rPr>
          <w:rFonts w:ascii="David" w:hAnsi="David" w:hint="cs"/>
          <w:rtl/>
        </w:rPr>
        <w:t xml:space="preserve">איש </w:t>
      </w:r>
      <w:r w:rsidR="009A5D85" w:rsidRPr="00745284">
        <w:rPr>
          <w:rFonts w:ascii="David" w:hAnsi="David" w:hint="cs"/>
          <w:rtl/>
        </w:rPr>
        <w:t xml:space="preserve">ייפרע חוב לאשה בסך של </w:t>
      </w:r>
      <w:r w:rsidR="008C1714">
        <w:rPr>
          <w:rFonts w:ascii="David" w:hAnsi="David" w:hint="cs"/>
          <w:rtl/>
        </w:rPr>
        <w:t>$</w:t>
      </w:r>
      <w:r w:rsidR="009A5D85" w:rsidRPr="00745284">
        <w:rPr>
          <w:rFonts w:ascii="David" w:hAnsi="David" w:hint="cs"/>
          <w:rtl/>
        </w:rPr>
        <w:t>15,000 (ר' סעיף 16 להסכם</w:t>
      </w:r>
      <w:r w:rsidR="0000467D" w:rsidRPr="00745284">
        <w:rPr>
          <w:rFonts w:ascii="David" w:hAnsi="David" w:hint="cs"/>
          <w:rtl/>
        </w:rPr>
        <w:t xml:space="preserve"> הגירושין</w:t>
      </w:r>
      <w:r w:rsidR="009A5D85" w:rsidRPr="00745284">
        <w:rPr>
          <w:rFonts w:ascii="David" w:hAnsi="David" w:hint="cs"/>
          <w:rtl/>
        </w:rPr>
        <w:t xml:space="preserve">). </w:t>
      </w:r>
      <w:r w:rsidR="0028476B" w:rsidRPr="00745284">
        <w:rPr>
          <w:rFonts w:ascii="David" w:hAnsi="David" w:hint="cs"/>
          <w:rtl/>
        </w:rPr>
        <w:t xml:space="preserve">כמו כן, נקבע כי האשה תהא זכאית </w:t>
      </w:r>
      <w:r w:rsidR="009A5D85" w:rsidRPr="00745284">
        <w:rPr>
          <w:rFonts w:ascii="David" w:hAnsi="David" w:hint="cs"/>
          <w:rtl/>
        </w:rPr>
        <w:t>למחצית מקצבה או מכל זכות אחרת שייקבל האיש ממשרד הביטחון, מיד עם קבלת הזכות (ר' סעיף 23 להסכם</w:t>
      </w:r>
      <w:r w:rsidR="0000467D" w:rsidRPr="00745284">
        <w:rPr>
          <w:rFonts w:ascii="David" w:hAnsi="David" w:hint="cs"/>
          <w:rtl/>
        </w:rPr>
        <w:t xml:space="preserve"> הגירושין</w:t>
      </w:r>
      <w:r w:rsidR="009A5D85" w:rsidRPr="00745284">
        <w:rPr>
          <w:rFonts w:ascii="David" w:hAnsi="David" w:hint="cs"/>
          <w:rtl/>
        </w:rPr>
        <w:t>).</w:t>
      </w:r>
    </w:p>
    <w:p w:rsidR="009A5D85" w:rsidRPr="00531820" w:rsidRDefault="009A5D85" w:rsidP="009A5D85">
      <w:pPr>
        <w:pStyle w:val="ad"/>
        <w:rPr>
          <w:rFonts w:ascii="David" w:hAnsi="David"/>
          <w:sz w:val="16"/>
          <w:szCs w:val="16"/>
          <w:rtl/>
        </w:rPr>
      </w:pPr>
    </w:p>
    <w:p w:rsidR="002E7AEA" w:rsidRDefault="002E7AEA" w:rsidP="008C1714">
      <w:pPr>
        <w:pStyle w:val="ad"/>
        <w:numPr>
          <w:ilvl w:val="0"/>
          <w:numId w:val="1"/>
        </w:numPr>
        <w:spacing w:line="360" w:lineRule="auto"/>
        <w:ind w:left="567" w:hanging="567"/>
        <w:jc w:val="both"/>
        <w:rPr>
          <w:rFonts w:ascii="David" w:hAnsi="David"/>
        </w:rPr>
      </w:pPr>
      <w:r w:rsidRPr="0000467D">
        <w:rPr>
          <w:rFonts w:ascii="David" w:hAnsi="David" w:hint="cs"/>
          <w:rtl/>
        </w:rPr>
        <w:t>ביום 23.9.2004</w:t>
      </w:r>
      <w:r w:rsidRPr="00D956F6">
        <w:rPr>
          <w:rFonts w:ascii="David" w:hAnsi="David" w:hint="cs"/>
          <w:color w:val="FF0000"/>
          <w:rtl/>
        </w:rPr>
        <w:t xml:space="preserve"> </w:t>
      </w:r>
      <w:r w:rsidRPr="00D956F6">
        <w:rPr>
          <w:rFonts w:ascii="David" w:hAnsi="David" w:hint="cs"/>
          <w:rtl/>
        </w:rPr>
        <w:t xml:space="preserve">הגיש האיש תביעה לביטול הסכם הגירושין </w:t>
      </w:r>
      <w:r w:rsidR="00745284">
        <w:rPr>
          <w:rFonts w:ascii="David" w:hAnsi="David" w:hint="cs"/>
          <w:rtl/>
        </w:rPr>
        <w:t>ו</w:t>
      </w:r>
      <w:r w:rsidRPr="00D956F6">
        <w:rPr>
          <w:rFonts w:ascii="David" w:hAnsi="David" w:hint="cs"/>
          <w:rtl/>
        </w:rPr>
        <w:t>תביעתו זו נדחתה בפסק דין מנומק מיום 29.3.200</w:t>
      </w:r>
      <w:r w:rsidR="008C1714">
        <w:rPr>
          <w:rFonts w:ascii="David" w:hAnsi="David" w:hint="cs"/>
          <w:rtl/>
        </w:rPr>
        <w:t>9</w:t>
      </w:r>
      <w:r w:rsidR="00745284">
        <w:rPr>
          <w:rFonts w:ascii="David" w:hAnsi="David" w:hint="cs"/>
          <w:rtl/>
        </w:rPr>
        <w:t>.</w:t>
      </w:r>
      <w:r w:rsidRPr="00D956F6">
        <w:rPr>
          <w:rFonts w:ascii="David" w:hAnsi="David" w:hint="cs"/>
          <w:rtl/>
        </w:rPr>
        <w:t xml:space="preserve"> </w:t>
      </w:r>
      <w:r w:rsidRPr="0000467D">
        <w:rPr>
          <w:rFonts w:ascii="David" w:hAnsi="David" w:hint="cs"/>
          <w:rtl/>
        </w:rPr>
        <w:t xml:space="preserve">ערעור שהגיש האיש על פסק הדין נמחק </w:t>
      </w:r>
      <w:r w:rsidR="00745284">
        <w:rPr>
          <w:rFonts w:ascii="David" w:hAnsi="David" w:hint="cs"/>
          <w:rtl/>
        </w:rPr>
        <w:t>בהסכמה</w:t>
      </w:r>
      <w:r w:rsidRPr="0000467D">
        <w:rPr>
          <w:rFonts w:ascii="David" w:hAnsi="David" w:hint="cs"/>
          <w:rtl/>
        </w:rPr>
        <w:t>.</w:t>
      </w:r>
      <w:r>
        <w:rPr>
          <w:rFonts w:ascii="David" w:hAnsi="David" w:hint="cs"/>
          <w:rtl/>
        </w:rPr>
        <w:t xml:space="preserve"> </w:t>
      </w:r>
      <w:r w:rsidR="00F943ED">
        <w:rPr>
          <w:rFonts w:ascii="David" w:hAnsi="David" w:hint="cs"/>
          <w:rtl/>
        </w:rPr>
        <w:t xml:space="preserve">בין לבין, </w:t>
      </w:r>
      <w:r w:rsidRPr="002E7AEA">
        <w:rPr>
          <w:rFonts w:ascii="David" w:hAnsi="David" w:hint="cs"/>
          <w:rtl/>
        </w:rPr>
        <w:t>ביום 19.2.2008 ניתן צו כינוס לנכסי האישה וביום 18.3.2009 הוכרזה האישה כפושטת רגל לבקשתה.</w:t>
      </w:r>
      <w:r w:rsidR="008C1714">
        <w:rPr>
          <w:rFonts w:ascii="David" w:hAnsi="David" w:hint="cs"/>
          <w:rtl/>
        </w:rPr>
        <w:t xml:space="preserve">  </w:t>
      </w:r>
    </w:p>
    <w:p w:rsidR="002E7AEA" w:rsidRPr="008C1714" w:rsidRDefault="002E7AEA" w:rsidP="002E7AEA">
      <w:pPr>
        <w:pStyle w:val="ad"/>
        <w:rPr>
          <w:rFonts w:ascii="David" w:hAnsi="David"/>
          <w:sz w:val="16"/>
          <w:szCs w:val="16"/>
          <w:rtl/>
        </w:rPr>
      </w:pPr>
    </w:p>
    <w:p w:rsidR="009B4793" w:rsidRDefault="009A5D85" w:rsidP="00745284">
      <w:pPr>
        <w:pStyle w:val="ad"/>
        <w:numPr>
          <w:ilvl w:val="0"/>
          <w:numId w:val="1"/>
        </w:numPr>
        <w:spacing w:line="360" w:lineRule="auto"/>
        <w:ind w:left="567" w:hanging="567"/>
        <w:jc w:val="both"/>
        <w:rPr>
          <w:rFonts w:ascii="David" w:hAnsi="David"/>
        </w:rPr>
      </w:pPr>
      <w:r>
        <w:rPr>
          <w:rFonts w:ascii="David" w:hAnsi="David" w:hint="cs"/>
          <w:rtl/>
        </w:rPr>
        <w:t>ברבות השנים קיבל האיש כספים מאת מש</w:t>
      </w:r>
      <w:r w:rsidR="003C2852">
        <w:rPr>
          <w:rFonts w:ascii="David" w:hAnsi="David" w:hint="cs"/>
          <w:rtl/>
        </w:rPr>
        <w:t>רד הביטחון מבלי שהעביר לאשה את חלקה, מה שהביא אותה לפתוח כנגדו תיק הוצאה לפועל</w:t>
      </w:r>
      <w:r w:rsidR="009B4793">
        <w:rPr>
          <w:rFonts w:ascii="David" w:hAnsi="David" w:hint="cs"/>
          <w:rtl/>
        </w:rPr>
        <w:t xml:space="preserve"> מספר 18-03826-06-4 (להלן: </w:t>
      </w:r>
      <w:r w:rsidR="009B4793" w:rsidRPr="00DF266A">
        <w:rPr>
          <w:rFonts w:ascii="Miriam" w:hAnsi="Miriam" w:cs="Miriam"/>
          <w:b/>
          <w:bCs/>
          <w:sz w:val="20"/>
          <w:szCs w:val="20"/>
          <w:rtl/>
        </w:rPr>
        <w:t>תיק ההוצאה לפועל</w:t>
      </w:r>
      <w:r w:rsidR="009B4793">
        <w:rPr>
          <w:rFonts w:ascii="David" w:hAnsi="David" w:hint="cs"/>
          <w:rtl/>
        </w:rPr>
        <w:t xml:space="preserve">). </w:t>
      </w:r>
      <w:r w:rsidR="003C2852">
        <w:rPr>
          <w:rFonts w:ascii="David" w:hAnsi="David" w:hint="cs"/>
          <w:rtl/>
        </w:rPr>
        <w:t xml:space="preserve">מנגד, האשה הוסיפה </w:t>
      </w:r>
      <w:r w:rsidR="002E7AEA">
        <w:rPr>
          <w:rFonts w:ascii="David" w:hAnsi="David" w:hint="cs"/>
          <w:rtl/>
        </w:rPr>
        <w:t xml:space="preserve">והיא מוסיפה </w:t>
      </w:r>
      <w:r w:rsidR="003C2852">
        <w:rPr>
          <w:rFonts w:ascii="David" w:hAnsi="David" w:hint="cs"/>
          <w:rtl/>
        </w:rPr>
        <w:t>להתגורר בדירה אף לאחר שביתם הצעירה בגרה</w:t>
      </w:r>
      <w:r w:rsidR="009B4793">
        <w:rPr>
          <w:rFonts w:ascii="David" w:hAnsi="David" w:hint="cs"/>
          <w:rtl/>
        </w:rPr>
        <w:t>, מה שהוביל את האיש לנסות ולפעול בתיק הפש"ר לקבלת היתר לתבוע את פירוק השיתוף.</w:t>
      </w:r>
    </w:p>
    <w:p w:rsidR="002E7AEA" w:rsidRPr="00DF266A" w:rsidRDefault="002E7AEA" w:rsidP="002E7AEA">
      <w:pPr>
        <w:pStyle w:val="ad"/>
        <w:rPr>
          <w:rFonts w:ascii="David" w:hAnsi="David"/>
          <w:sz w:val="16"/>
          <w:szCs w:val="16"/>
          <w:rtl/>
        </w:rPr>
      </w:pPr>
    </w:p>
    <w:p w:rsidR="00CD3228" w:rsidRDefault="009B4793" w:rsidP="00B0712E">
      <w:pPr>
        <w:pStyle w:val="ad"/>
        <w:numPr>
          <w:ilvl w:val="0"/>
          <w:numId w:val="1"/>
        </w:numPr>
        <w:spacing w:line="360" w:lineRule="auto"/>
        <w:ind w:left="567" w:hanging="567"/>
        <w:jc w:val="both"/>
        <w:rPr>
          <w:rFonts w:ascii="David" w:hAnsi="David"/>
        </w:rPr>
      </w:pPr>
      <w:r w:rsidRPr="002E7AEA">
        <w:rPr>
          <w:rFonts w:ascii="David" w:hAnsi="David" w:hint="cs"/>
          <w:rtl/>
        </w:rPr>
        <w:t>ביום 8.6.21 במהלך דיון ב</w:t>
      </w:r>
      <w:r w:rsidR="00CD3228" w:rsidRPr="002E7AEA">
        <w:rPr>
          <w:rFonts w:ascii="David" w:hAnsi="David" w:hint="cs"/>
          <w:rtl/>
        </w:rPr>
        <w:t>תיק ההוצאה לפועל</w:t>
      </w:r>
      <w:r w:rsidR="00B0712E">
        <w:rPr>
          <w:rFonts w:ascii="David" w:hAnsi="David" w:hint="cs"/>
          <w:rtl/>
        </w:rPr>
        <w:t xml:space="preserve"> בו יוצג כ"א מהם ע"י עו"ד מטעמו</w:t>
      </w:r>
      <w:r w:rsidR="00992C09">
        <w:rPr>
          <w:rFonts w:ascii="David" w:hAnsi="David" w:hint="cs"/>
          <w:rtl/>
        </w:rPr>
        <w:t xml:space="preserve">, </w:t>
      </w:r>
      <w:r w:rsidR="00CD3228" w:rsidRPr="002E7AEA">
        <w:rPr>
          <w:rFonts w:ascii="David" w:hAnsi="David" w:hint="cs"/>
          <w:rtl/>
        </w:rPr>
        <w:t xml:space="preserve">ניהלו </w:t>
      </w:r>
      <w:r w:rsidR="00992C09">
        <w:rPr>
          <w:rFonts w:ascii="David" w:hAnsi="David" w:hint="cs"/>
          <w:rtl/>
        </w:rPr>
        <w:t xml:space="preserve">הצדדים </w:t>
      </w:r>
      <w:r w:rsidR="00CD3228" w:rsidRPr="002E7AEA">
        <w:rPr>
          <w:rFonts w:ascii="David" w:hAnsi="David" w:hint="cs"/>
          <w:rtl/>
        </w:rPr>
        <w:t>מו"מ</w:t>
      </w:r>
      <w:r w:rsidR="0000467D" w:rsidRPr="002E7AEA">
        <w:rPr>
          <w:rFonts w:ascii="David" w:hAnsi="David" w:hint="cs"/>
          <w:rtl/>
        </w:rPr>
        <w:t xml:space="preserve">, </w:t>
      </w:r>
      <w:r w:rsidR="00CD3228" w:rsidRPr="002E7AEA">
        <w:rPr>
          <w:rFonts w:ascii="David" w:hAnsi="David" w:hint="cs"/>
          <w:rtl/>
        </w:rPr>
        <w:t xml:space="preserve">ולאחר הפסקה שנערכה שבו לאולם, </w:t>
      </w:r>
      <w:r w:rsidR="002E7AEA" w:rsidRPr="002E7AEA">
        <w:rPr>
          <w:rFonts w:ascii="David" w:hAnsi="David" w:hint="cs"/>
          <w:rtl/>
        </w:rPr>
        <w:t>ו</w:t>
      </w:r>
      <w:r w:rsidR="00B0712E">
        <w:rPr>
          <w:rFonts w:ascii="David" w:hAnsi="David" w:hint="cs"/>
          <w:rtl/>
        </w:rPr>
        <w:t>הודיעו כי הסכימו ש</w:t>
      </w:r>
      <w:r w:rsidR="002E7AEA" w:rsidRPr="002E7AEA">
        <w:rPr>
          <w:rFonts w:ascii="David" w:hAnsi="David" w:hint="cs"/>
          <w:rtl/>
        </w:rPr>
        <w:t xml:space="preserve">גובה החוב הפסוק יעמוד על 980,000 ₪. מפאת חשיבות הדברים, אביא מתוך הפרוטוקול:  </w:t>
      </w:r>
    </w:p>
    <w:p w:rsidR="002E7AEA" w:rsidRDefault="002E7AEA" w:rsidP="0035707B">
      <w:pPr>
        <w:pStyle w:val="ad"/>
        <w:jc w:val="both"/>
        <w:rPr>
          <w:rFonts w:asciiTheme="majorBidi" w:hAnsiTheme="majorBidi" w:cstheme="majorBidi"/>
          <w:sz w:val="16"/>
          <w:szCs w:val="16"/>
          <w:rtl/>
        </w:rPr>
      </w:pPr>
    </w:p>
    <w:p w:rsidR="00C80B08" w:rsidRDefault="00C80B08" w:rsidP="0035707B">
      <w:pPr>
        <w:pStyle w:val="ad"/>
        <w:jc w:val="both"/>
        <w:rPr>
          <w:rFonts w:asciiTheme="majorBidi" w:hAnsiTheme="majorBidi" w:cstheme="majorBidi"/>
          <w:sz w:val="16"/>
          <w:szCs w:val="16"/>
          <w:rtl/>
        </w:rPr>
      </w:pPr>
    </w:p>
    <w:p w:rsidR="008C1714" w:rsidRDefault="008C1714" w:rsidP="0035707B">
      <w:pPr>
        <w:pStyle w:val="ad"/>
        <w:jc w:val="both"/>
        <w:rPr>
          <w:rFonts w:asciiTheme="majorBidi" w:hAnsiTheme="majorBidi" w:cstheme="majorBidi"/>
          <w:sz w:val="16"/>
          <w:szCs w:val="16"/>
          <w:rtl/>
        </w:rPr>
      </w:pPr>
    </w:p>
    <w:p w:rsidR="00CD3228" w:rsidRPr="00C80B08" w:rsidRDefault="0035707B" w:rsidP="0035707B">
      <w:pPr>
        <w:pStyle w:val="ad"/>
        <w:jc w:val="both"/>
        <w:rPr>
          <w:rFonts w:ascii="Miriam" w:hAnsi="Miriam" w:cs="Miriam"/>
          <w:b/>
          <w:bCs/>
          <w:sz w:val="20"/>
          <w:szCs w:val="20"/>
          <w:u w:val="single"/>
          <w:rtl/>
        </w:rPr>
      </w:pPr>
      <w:r w:rsidRPr="00C80B08">
        <w:rPr>
          <w:rFonts w:ascii="Miriam" w:hAnsi="Miriam" w:cs="Miriam"/>
          <w:b/>
          <w:bCs/>
          <w:sz w:val="20"/>
          <w:szCs w:val="20"/>
          <w:u w:val="single"/>
          <w:rtl/>
        </w:rPr>
        <w:lastRenderedPageBreak/>
        <w:t>"</w:t>
      </w:r>
      <w:r w:rsidR="00CD3228" w:rsidRPr="00C80B08">
        <w:rPr>
          <w:rFonts w:ascii="Miriam" w:hAnsi="Miriam" w:cs="Miriam"/>
          <w:b/>
          <w:bCs/>
          <w:sz w:val="20"/>
          <w:szCs w:val="20"/>
          <w:u w:val="single"/>
          <w:rtl/>
        </w:rPr>
        <w:t>הצדדים לאחר הפסקה – הגענו להסכמות:</w:t>
      </w:r>
    </w:p>
    <w:p w:rsidR="00CD3228" w:rsidRPr="00C80B08" w:rsidRDefault="00CD3228" w:rsidP="0035707B">
      <w:pPr>
        <w:pStyle w:val="ad"/>
        <w:jc w:val="both"/>
        <w:rPr>
          <w:rFonts w:ascii="Miriam" w:hAnsi="Miriam" w:cs="Miriam"/>
          <w:b/>
          <w:bCs/>
          <w:sz w:val="20"/>
          <w:szCs w:val="20"/>
          <w:rtl/>
        </w:rPr>
      </w:pPr>
    </w:p>
    <w:p w:rsidR="00CD3228" w:rsidRPr="00C80B08" w:rsidRDefault="00CD3228" w:rsidP="0035707B">
      <w:pPr>
        <w:pStyle w:val="ad"/>
        <w:jc w:val="both"/>
        <w:rPr>
          <w:rFonts w:ascii="Miriam" w:hAnsi="Miriam" w:cs="Miriam"/>
          <w:b/>
          <w:bCs/>
          <w:sz w:val="20"/>
          <w:szCs w:val="20"/>
          <w:rtl/>
        </w:rPr>
      </w:pPr>
      <w:r w:rsidRPr="00C80B08">
        <w:rPr>
          <w:rFonts w:ascii="Miriam" w:hAnsi="Miriam" w:cs="Miriam"/>
          <w:b/>
          <w:bCs/>
          <w:sz w:val="20"/>
          <w:szCs w:val="20"/>
          <w:rtl/>
        </w:rPr>
        <w:t>לאחר דיון מחוץ לפרוטוקול, לפרוטוקול</w:t>
      </w:r>
      <w:r w:rsidR="00531820" w:rsidRPr="00C80B08">
        <w:rPr>
          <w:rFonts w:ascii="Miriam" w:hAnsi="Miriam" w:cs="Miriam"/>
          <w:b/>
          <w:bCs/>
          <w:sz w:val="20"/>
          <w:szCs w:val="20"/>
          <w:rtl/>
        </w:rPr>
        <w:t xml:space="preserve">, והיוועצות מחוץ לאולם הדיונים באמצעות הצדדים וב"כ הגענו לסכמות לפיהן: </w:t>
      </w:r>
    </w:p>
    <w:p w:rsidR="00531820" w:rsidRPr="00C80B08" w:rsidRDefault="00531820" w:rsidP="0035707B">
      <w:pPr>
        <w:pStyle w:val="ad"/>
        <w:jc w:val="both"/>
        <w:rPr>
          <w:rFonts w:ascii="Miriam" w:hAnsi="Miriam" w:cs="Miriam"/>
          <w:b/>
          <w:bCs/>
          <w:sz w:val="20"/>
          <w:szCs w:val="20"/>
          <w:rtl/>
        </w:rPr>
      </w:pPr>
    </w:p>
    <w:p w:rsidR="00531820" w:rsidRPr="00C80B08" w:rsidRDefault="00531820" w:rsidP="0035707B">
      <w:pPr>
        <w:pStyle w:val="ad"/>
        <w:jc w:val="both"/>
        <w:rPr>
          <w:rFonts w:ascii="Miriam" w:hAnsi="Miriam" w:cs="Miriam"/>
          <w:b/>
          <w:bCs/>
          <w:sz w:val="20"/>
          <w:szCs w:val="20"/>
          <w:rtl/>
        </w:rPr>
      </w:pPr>
      <w:r w:rsidRPr="00C80B08">
        <w:rPr>
          <w:rFonts w:ascii="Miriam" w:hAnsi="Miriam" w:cs="Miriam"/>
          <w:b/>
          <w:bCs/>
          <w:sz w:val="20"/>
          <w:szCs w:val="20"/>
          <w:rtl/>
        </w:rPr>
        <w:t>החוב בתיק ההוצאה לפועל יועמד על סך של 980,000 ₪ נכון להיום.</w:t>
      </w:r>
    </w:p>
    <w:p w:rsidR="00531820" w:rsidRPr="00C80B08" w:rsidRDefault="00531820" w:rsidP="0035707B">
      <w:pPr>
        <w:pStyle w:val="ad"/>
        <w:jc w:val="both"/>
        <w:rPr>
          <w:rFonts w:ascii="Miriam" w:hAnsi="Miriam" w:cs="Miriam"/>
          <w:b/>
          <w:bCs/>
          <w:sz w:val="20"/>
          <w:szCs w:val="20"/>
          <w:rtl/>
        </w:rPr>
      </w:pPr>
      <w:r w:rsidRPr="00C80B08">
        <w:rPr>
          <w:rFonts w:ascii="Miriam" w:hAnsi="Miriam" w:cs="Miriam"/>
          <w:b/>
          <w:bCs/>
          <w:sz w:val="20"/>
          <w:szCs w:val="20"/>
          <w:rtl/>
        </w:rPr>
        <w:t>בכך יש לסתום את הגולל על כל טענות הצדדים בנוגע להחלטות שיפוטיות שהוגשו לביצוע בתיק זה עד היום.</w:t>
      </w:r>
    </w:p>
    <w:p w:rsidR="00531820" w:rsidRPr="00C80B08" w:rsidRDefault="00531820" w:rsidP="0035707B">
      <w:pPr>
        <w:pStyle w:val="ad"/>
        <w:jc w:val="both"/>
        <w:rPr>
          <w:rFonts w:ascii="Miriam" w:hAnsi="Miriam" w:cs="Miriam"/>
          <w:b/>
          <w:bCs/>
          <w:sz w:val="20"/>
          <w:szCs w:val="20"/>
          <w:rtl/>
        </w:rPr>
      </w:pPr>
    </w:p>
    <w:p w:rsidR="00531820" w:rsidRPr="00C80B08" w:rsidRDefault="00531820" w:rsidP="0035707B">
      <w:pPr>
        <w:pStyle w:val="ad"/>
        <w:jc w:val="both"/>
        <w:rPr>
          <w:rFonts w:ascii="Miriam" w:hAnsi="Miriam" w:cs="Miriam"/>
          <w:b/>
          <w:bCs/>
          <w:sz w:val="20"/>
          <w:szCs w:val="20"/>
          <w:rtl/>
        </w:rPr>
      </w:pPr>
      <w:r w:rsidRPr="00C80B08">
        <w:rPr>
          <w:rFonts w:ascii="Miriam" w:hAnsi="Miriam" w:cs="Miriam"/>
          <w:b/>
          <w:bCs/>
          <w:sz w:val="20"/>
          <w:szCs w:val="20"/>
          <w:rtl/>
        </w:rPr>
        <w:t>סילוק סכום זה יהווה סילוק סופי ומוחלט של כל הטענות הנוגעות בתיק זה עד היום.</w:t>
      </w:r>
    </w:p>
    <w:p w:rsidR="00531820" w:rsidRPr="00C80B08" w:rsidRDefault="00531820" w:rsidP="0035707B">
      <w:pPr>
        <w:pStyle w:val="ad"/>
        <w:jc w:val="both"/>
        <w:rPr>
          <w:rFonts w:ascii="Miriam" w:hAnsi="Miriam" w:cs="Miriam"/>
          <w:b/>
          <w:bCs/>
          <w:sz w:val="20"/>
          <w:szCs w:val="20"/>
          <w:rtl/>
        </w:rPr>
      </w:pPr>
    </w:p>
    <w:p w:rsidR="00531820" w:rsidRPr="00C80B08" w:rsidRDefault="00531820" w:rsidP="0035707B">
      <w:pPr>
        <w:pStyle w:val="ad"/>
        <w:jc w:val="both"/>
        <w:rPr>
          <w:rFonts w:ascii="Miriam" w:hAnsi="Miriam" w:cs="Miriam"/>
          <w:b/>
          <w:bCs/>
          <w:sz w:val="20"/>
          <w:szCs w:val="20"/>
          <w:rtl/>
        </w:rPr>
      </w:pPr>
      <w:r w:rsidRPr="00C80B08">
        <w:rPr>
          <w:rFonts w:ascii="Miriam" w:hAnsi="Miriam" w:cs="Miriam"/>
          <w:b/>
          <w:bCs/>
          <w:sz w:val="20"/>
          <w:szCs w:val="20"/>
          <w:rtl/>
        </w:rPr>
        <w:t xml:space="preserve">אין באמור כדי להשליך או לפגוע או להתייחס לטענות מי מהצדדים בהליכים אחרים המתנהלים שלא בהקשר לתיק זה... </w:t>
      </w:r>
    </w:p>
    <w:p w:rsidR="00531820" w:rsidRPr="00C80B08" w:rsidRDefault="00531820" w:rsidP="0035707B">
      <w:pPr>
        <w:pStyle w:val="ad"/>
        <w:jc w:val="both"/>
        <w:rPr>
          <w:rFonts w:ascii="Miriam" w:hAnsi="Miriam" w:cs="Miriam"/>
          <w:b/>
          <w:bCs/>
          <w:sz w:val="20"/>
          <w:szCs w:val="20"/>
          <w:rtl/>
        </w:rPr>
      </w:pPr>
    </w:p>
    <w:p w:rsidR="00531820" w:rsidRPr="00C80B08" w:rsidRDefault="00531820" w:rsidP="0035707B">
      <w:pPr>
        <w:pStyle w:val="ad"/>
        <w:jc w:val="both"/>
        <w:rPr>
          <w:rFonts w:ascii="Miriam" w:hAnsi="Miriam" w:cs="Miriam"/>
          <w:b/>
          <w:bCs/>
          <w:sz w:val="20"/>
          <w:szCs w:val="20"/>
          <w:rtl/>
        </w:rPr>
      </w:pPr>
      <w:r w:rsidRPr="00C80B08">
        <w:rPr>
          <w:rFonts w:ascii="Miriam" w:hAnsi="Miriam" w:cs="Miriam"/>
          <w:b/>
          <w:bCs/>
          <w:sz w:val="20"/>
          <w:szCs w:val="20"/>
          <w:rtl/>
        </w:rPr>
        <w:t>סכום זה מהווה את כל חלקה של הזוכה בקצבתו של החייב על פי סעיף 23 לפסק הדין מיום 2.9.2003 ולא תהיינה עוד טענות הדדיות למי מהצדדים בעניין זה לכל התקופות עד היום 8.6.2021.</w:t>
      </w:r>
    </w:p>
    <w:p w:rsidR="00531820" w:rsidRPr="00C80B08" w:rsidRDefault="00531820" w:rsidP="0035707B">
      <w:pPr>
        <w:pStyle w:val="ad"/>
        <w:jc w:val="both"/>
        <w:rPr>
          <w:rFonts w:ascii="Miriam" w:hAnsi="Miriam" w:cs="Miriam"/>
          <w:b/>
          <w:bCs/>
          <w:sz w:val="20"/>
          <w:szCs w:val="20"/>
          <w:rtl/>
        </w:rPr>
      </w:pPr>
      <w:r w:rsidRPr="00C80B08">
        <w:rPr>
          <w:rFonts w:ascii="Miriam" w:hAnsi="Miriam" w:cs="Miriam"/>
          <w:b/>
          <w:bCs/>
          <w:sz w:val="20"/>
          <w:szCs w:val="20"/>
          <w:rtl/>
        </w:rPr>
        <w:t>.....</w:t>
      </w:r>
    </w:p>
    <w:p w:rsidR="00531820" w:rsidRPr="00C80B08" w:rsidRDefault="00531820" w:rsidP="0035707B">
      <w:pPr>
        <w:pStyle w:val="ad"/>
        <w:jc w:val="both"/>
        <w:rPr>
          <w:rFonts w:ascii="Miriam" w:hAnsi="Miriam" w:cs="Miriam"/>
          <w:b/>
          <w:bCs/>
          <w:sz w:val="20"/>
          <w:szCs w:val="20"/>
          <w:rtl/>
        </w:rPr>
      </w:pPr>
    </w:p>
    <w:p w:rsidR="00531820" w:rsidRPr="00C80B08" w:rsidRDefault="00937426" w:rsidP="0035707B">
      <w:pPr>
        <w:pStyle w:val="ad"/>
        <w:jc w:val="both"/>
        <w:rPr>
          <w:rFonts w:ascii="Miriam" w:hAnsi="Miriam" w:cs="Miriam"/>
          <w:b/>
          <w:bCs/>
          <w:sz w:val="20"/>
          <w:szCs w:val="20"/>
          <w:u w:val="single"/>
          <w:rtl/>
        </w:rPr>
      </w:pPr>
      <w:r w:rsidRPr="00C80B08">
        <w:rPr>
          <w:rFonts w:ascii="Miriam" w:hAnsi="Miriam" w:cs="Miriam"/>
          <w:b/>
          <w:bCs/>
          <w:sz w:val="20"/>
          <w:szCs w:val="20"/>
          <w:u w:val="single"/>
          <w:rtl/>
        </w:rPr>
        <w:t>ה</w:t>
      </w:r>
      <w:r w:rsidR="00531820" w:rsidRPr="00C80B08">
        <w:rPr>
          <w:rFonts w:ascii="Miriam" w:hAnsi="Miriam" w:cs="Miriam"/>
          <w:b/>
          <w:bCs/>
          <w:sz w:val="20"/>
          <w:szCs w:val="20"/>
          <w:u w:val="single"/>
          <w:rtl/>
        </w:rPr>
        <w:t>ערת כבוד רשמת ההוצ</w:t>
      </w:r>
      <w:r w:rsidRPr="00C80B08">
        <w:rPr>
          <w:rFonts w:ascii="Miriam" w:hAnsi="Miriam" w:cs="Miriam"/>
          <w:b/>
          <w:bCs/>
          <w:sz w:val="20"/>
          <w:szCs w:val="20"/>
          <w:u w:val="single"/>
          <w:rtl/>
        </w:rPr>
        <w:t>ל"פ:</w:t>
      </w:r>
    </w:p>
    <w:p w:rsidR="00937426" w:rsidRPr="00C80B08" w:rsidRDefault="00937426" w:rsidP="0035707B">
      <w:pPr>
        <w:pStyle w:val="ad"/>
        <w:jc w:val="both"/>
        <w:rPr>
          <w:rFonts w:ascii="Miriam" w:hAnsi="Miriam" w:cs="Miriam"/>
          <w:b/>
          <w:bCs/>
          <w:sz w:val="20"/>
          <w:szCs w:val="20"/>
          <w:rtl/>
        </w:rPr>
      </w:pPr>
    </w:p>
    <w:p w:rsidR="00937426" w:rsidRPr="00C80B08" w:rsidRDefault="00937426" w:rsidP="0035707B">
      <w:pPr>
        <w:pStyle w:val="ad"/>
        <w:jc w:val="both"/>
        <w:rPr>
          <w:rFonts w:ascii="Miriam" w:hAnsi="Miriam" w:cs="Miriam"/>
          <w:b/>
          <w:bCs/>
          <w:sz w:val="20"/>
          <w:szCs w:val="20"/>
          <w:rtl/>
        </w:rPr>
      </w:pPr>
      <w:r w:rsidRPr="00C80B08">
        <w:rPr>
          <w:rFonts w:ascii="Miriam" w:hAnsi="Miriam" w:cs="Miriam"/>
          <w:b/>
          <w:bCs/>
          <w:sz w:val="20"/>
          <w:szCs w:val="20"/>
          <w:rtl/>
        </w:rPr>
        <w:t>אני מקריאה לצדדים ולבאי כוחם את ההסכמות שנרשמו לפרוטוקול ומסבירה לצדדים ובאי כוחם, בשפה פשוטה וברורה, את משמעות ההסכמות אליהן הגיעו.</w:t>
      </w:r>
    </w:p>
    <w:p w:rsidR="00937426" w:rsidRPr="00C80B08" w:rsidRDefault="00937426" w:rsidP="0035707B">
      <w:pPr>
        <w:pStyle w:val="ad"/>
        <w:jc w:val="both"/>
        <w:rPr>
          <w:rFonts w:ascii="Miriam" w:hAnsi="Miriam" w:cs="Miriam"/>
          <w:b/>
          <w:bCs/>
          <w:sz w:val="20"/>
          <w:szCs w:val="20"/>
          <w:rtl/>
        </w:rPr>
      </w:pPr>
    </w:p>
    <w:p w:rsidR="00937426" w:rsidRPr="00C80B08" w:rsidRDefault="00937426" w:rsidP="0035707B">
      <w:pPr>
        <w:pStyle w:val="ad"/>
        <w:jc w:val="both"/>
        <w:rPr>
          <w:rFonts w:ascii="Miriam" w:hAnsi="Miriam" w:cs="Miriam"/>
          <w:b/>
          <w:bCs/>
          <w:sz w:val="20"/>
          <w:szCs w:val="20"/>
          <w:rtl/>
        </w:rPr>
      </w:pPr>
      <w:r w:rsidRPr="00C80B08">
        <w:rPr>
          <w:rFonts w:ascii="Miriam" w:hAnsi="Miriam" w:cs="Miriam"/>
          <w:b/>
          <w:bCs/>
          <w:sz w:val="20"/>
          <w:szCs w:val="20"/>
          <w:rtl/>
        </w:rPr>
        <w:t>כבוד הרשמת שואלת את הצדדים ובאי כוחם אם הם מבינים את משמעות ההסכם ואת תוצאותיו והאם הגיעו אליו מתוך רצון והסכמה חופשית.</w:t>
      </w:r>
    </w:p>
    <w:p w:rsidR="00937426" w:rsidRPr="00C80B08" w:rsidRDefault="00937426" w:rsidP="0035707B">
      <w:pPr>
        <w:pStyle w:val="ad"/>
        <w:jc w:val="both"/>
        <w:rPr>
          <w:rFonts w:ascii="Miriam" w:hAnsi="Miriam" w:cs="Miriam"/>
          <w:b/>
          <w:bCs/>
          <w:sz w:val="20"/>
          <w:szCs w:val="20"/>
          <w:rtl/>
        </w:rPr>
      </w:pPr>
    </w:p>
    <w:p w:rsidR="00937426" w:rsidRPr="00C80B08" w:rsidRDefault="00937426" w:rsidP="0035707B">
      <w:pPr>
        <w:pStyle w:val="ad"/>
        <w:jc w:val="both"/>
        <w:rPr>
          <w:rFonts w:ascii="Miriam" w:hAnsi="Miriam" w:cs="Miriam"/>
          <w:b/>
          <w:bCs/>
          <w:sz w:val="20"/>
          <w:szCs w:val="20"/>
          <w:u w:val="single"/>
          <w:rtl/>
        </w:rPr>
      </w:pPr>
      <w:r w:rsidRPr="00C80B08">
        <w:rPr>
          <w:rFonts w:ascii="Miriam" w:hAnsi="Miriam" w:cs="Miriam"/>
          <w:b/>
          <w:bCs/>
          <w:sz w:val="20"/>
          <w:szCs w:val="20"/>
          <w:u w:val="single"/>
          <w:rtl/>
        </w:rPr>
        <w:t>החייב וב"כ:</w:t>
      </w:r>
    </w:p>
    <w:p w:rsidR="00531820" w:rsidRPr="00C80B08" w:rsidRDefault="00937426" w:rsidP="0035707B">
      <w:pPr>
        <w:pStyle w:val="ad"/>
        <w:jc w:val="both"/>
        <w:rPr>
          <w:rFonts w:ascii="Miriam" w:hAnsi="Miriam" w:cs="Miriam"/>
          <w:b/>
          <w:bCs/>
          <w:sz w:val="20"/>
          <w:szCs w:val="20"/>
          <w:rtl/>
        </w:rPr>
      </w:pPr>
      <w:r w:rsidRPr="00C80B08">
        <w:rPr>
          <w:rFonts w:ascii="Miriam" w:hAnsi="Miriam" w:cs="Miriam"/>
          <w:b/>
          <w:bCs/>
          <w:sz w:val="20"/>
          <w:szCs w:val="20"/>
          <w:rtl/>
        </w:rPr>
        <w:t>לאחר ששמעתי את הסבר כבוד רשמת ההוצל"פ ביחס להסכמות, אני מבין את משמעותן ומאשר אותן.</w:t>
      </w:r>
    </w:p>
    <w:p w:rsidR="00937426" w:rsidRPr="00C80B08" w:rsidRDefault="00937426" w:rsidP="0035707B">
      <w:pPr>
        <w:pStyle w:val="ad"/>
        <w:jc w:val="both"/>
        <w:rPr>
          <w:rFonts w:ascii="Miriam" w:hAnsi="Miriam" w:cs="Miriam"/>
          <w:b/>
          <w:bCs/>
          <w:sz w:val="20"/>
          <w:szCs w:val="20"/>
          <w:rtl/>
        </w:rPr>
      </w:pPr>
    </w:p>
    <w:p w:rsidR="00937426" w:rsidRPr="00C80B08" w:rsidRDefault="00937426" w:rsidP="0035707B">
      <w:pPr>
        <w:pStyle w:val="ad"/>
        <w:jc w:val="both"/>
        <w:rPr>
          <w:rFonts w:ascii="Miriam" w:hAnsi="Miriam" w:cs="Miriam"/>
          <w:b/>
          <w:bCs/>
          <w:sz w:val="20"/>
          <w:szCs w:val="20"/>
          <w:u w:val="single"/>
          <w:rtl/>
        </w:rPr>
      </w:pPr>
      <w:r w:rsidRPr="00C80B08">
        <w:rPr>
          <w:rFonts w:ascii="Miriam" w:hAnsi="Miriam" w:cs="Miriam"/>
          <w:b/>
          <w:bCs/>
          <w:sz w:val="20"/>
          <w:szCs w:val="20"/>
          <w:u w:val="single"/>
          <w:rtl/>
        </w:rPr>
        <w:t>הזוכה וב"כ:</w:t>
      </w:r>
    </w:p>
    <w:p w:rsidR="00937426" w:rsidRPr="00C80B08" w:rsidRDefault="00937426" w:rsidP="0035707B">
      <w:pPr>
        <w:pStyle w:val="ad"/>
        <w:jc w:val="both"/>
        <w:rPr>
          <w:rFonts w:ascii="Miriam" w:hAnsi="Miriam" w:cs="Miriam"/>
          <w:b/>
          <w:bCs/>
          <w:sz w:val="20"/>
          <w:szCs w:val="20"/>
          <w:rtl/>
        </w:rPr>
      </w:pPr>
      <w:r w:rsidRPr="00C80B08">
        <w:rPr>
          <w:rFonts w:ascii="Miriam" w:hAnsi="Miriam" w:cs="Miriam"/>
          <w:b/>
          <w:bCs/>
          <w:sz w:val="20"/>
          <w:szCs w:val="20"/>
          <w:rtl/>
        </w:rPr>
        <w:t>לאחר ששמעתי את הסבר כבוד רשמת ההוצל"פ ביחס להסכמות, אני מבינה את משמעותן ומאשרת אותן.</w:t>
      </w:r>
    </w:p>
    <w:p w:rsidR="00937426" w:rsidRPr="00C80B08" w:rsidRDefault="00937426" w:rsidP="0035707B">
      <w:pPr>
        <w:pStyle w:val="ad"/>
        <w:jc w:val="both"/>
        <w:rPr>
          <w:rFonts w:ascii="Miriam" w:hAnsi="Miriam" w:cs="Miriam"/>
          <w:b/>
          <w:bCs/>
          <w:sz w:val="20"/>
          <w:szCs w:val="20"/>
          <w:rtl/>
        </w:rPr>
      </w:pPr>
    </w:p>
    <w:p w:rsidR="00937426" w:rsidRPr="00C80B08" w:rsidRDefault="00937426" w:rsidP="0035707B">
      <w:pPr>
        <w:pStyle w:val="ad"/>
        <w:jc w:val="center"/>
        <w:rPr>
          <w:rFonts w:ascii="Miriam" w:hAnsi="Miriam" w:cs="Miriam"/>
          <w:b/>
          <w:bCs/>
          <w:sz w:val="20"/>
          <w:szCs w:val="20"/>
          <w:u w:val="single"/>
          <w:rtl/>
        </w:rPr>
      </w:pPr>
      <w:r w:rsidRPr="00C80B08">
        <w:rPr>
          <w:rFonts w:ascii="Miriam" w:hAnsi="Miriam" w:cs="Miriam"/>
          <w:b/>
          <w:bCs/>
          <w:sz w:val="20"/>
          <w:szCs w:val="20"/>
          <w:u w:val="single"/>
          <w:rtl/>
        </w:rPr>
        <w:t>החלטה</w:t>
      </w:r>
    </w:p>
    <w:p w:rsidR="00937426" w:rsidRPr="00C80B08" w:rsidRDefault="00937426" w:rsidP="0035707B">
      <w:pPr>
        <w:pStyle w:val="ad"/>
        <w:jc w:val="both"/>
        <w:rPr>
          <w:rFonts w:ascii="Miriam" w:hAnsi="Miriam" w:cs="Miriam"/>
          <w:b/>
          <w:bCs/>
          <w:sz w:val="20"/>
          <w:szCs w:val="20"/>
          <w:rtl/>
        </w:rPr>
      </w:pPr>
    </w:p>
    <w:p w:rsidR="00937426" w:rsidRPr="00C80B08" w:rsidRDefault="00937426" w:rsidP="0035707B">
      <w:pPr>
        <w:pStyle w:val="ad"/>
        <w:jc w:val="both"/>
        <w:rPr>
          <w:rFonts w:ascii="Miriam" w:hAnsi="Miriam" w:cs="Miriam"/>
          <w:b/>
          <w:bCs/>
          <w:sz w:val="20"/>
          <w:szCs w:val="20"/>
          <w:rtl/>
        </w:rPr>
      </w:pPr>
      <w:r w:rsidRPr="00C80B08">
        <w:rPr>
          <w:rFonts w:ascii="Miriam" w:hAnsi="Miriam" w:cs="Miriam"/>
          <w:b/>
          <w:bCs/>
          <w:sz w:val="20"/>
          <w:szCs w:val="20"/>
          <w:rtl/>
        </w:rPr>
        <w:t>אני מברכת את הצדדים ובאי כוחם על שה</w:t>
      </w:r>
      <w:r w:rsidR="0035707B" w:rsidRPr="00C80B08">
        <w:rPr>
          <w:rFonts w:ascii="Miriam" w:hAnsi="Miriam" w:cs="Miriam"/>
          <w:b/>
          <w:bCs/>
          <w:sz w:val="20"/>
          <w:szCs w:val="20"/>
          <w:rtl/>
        </w:rPr>
        <w:t>ש</w:t>
      </w:r>
      <w:r w:rsidRPr="00C80B08">
        <w:rPr>
          <w:rFonts w:ascii="Miriam" w:hAnsi="Miriam" w:cs="Miriam"/>
          <w:b/>
          <w:bCs/>
          <w:sz w:val="20"/>
          <w:szCs w:val="20"/>
          <w:rtl/>
        </w:rPr>
        <w:t>כילו לסיים את המחלוקת ביניהם על דרך של פשרה.</w:t>
      </w:r>
    </w:p>
    <w:p w:rsidR="00937426" w:rsidRPr="00C80B08" w:rsidRDefault="00937426" w:rsidP="0035707B">
      <w:pPr>
        <w:pStyle w:val="ad"/>
        <w:jc w:val="both"/>
        <w:rPr>
          <w:rFonts w:ascii="Miriam" w:hAnsi="Miriam" w:cs="Miriam"/>
          <w:b/>
          <w:bCs/>
          <w:sz w:val="20"/>
          <w:szCs w:val="20"/>
          <w:rtl/>
        </w:rPr>
      </w:pPr>
    </w:p>
    <w:p w:rsidR="00937426" w:rsidRPr="00C80B08" w:rsidRDefault="00937426" w:rsidP="0035707B">
      <w:pPr>
        <w:pStyle w:val="ad"/>
        <w:jc w:val="both"/>
        <w:rPr>
          <w:rFonts w:ascii="Miriam" w:hAnsi="Miriam" w:cs="Miriam"/>
          <w:b/>
          <w:bCs/>
          <w:sz w:val="20"/>
          <w:szCs w:val="20"/>
          <w:rtl/>
        </w:rPr>
      </w:pPr>
      <w:r w:rsidRPr="00C80B08">
        <w:rPr>
          <w:rFonts w:ascii="Miriam" w:hAnsi="Miriam" w:cs="Miriam"/>
          <w:b/>
          <w:bCs/>
          <w:sz w:val="20"/>
          <w:szCs w:val="20"/>
          <w:rtl/>
        </w:rPr>
        <w:t>לאחר ששמעתי את הצדדים ובאי כוחם ושוכנעתי כי הגיעו להסכמות מרצונם הטוב והחופשי, ובהבינם את משמעותן ואת תוצאותיהן, אני מאשרת את ההסכמות ונותנת להן תוקף של החלטה.</w:t>
      </w:r>
    </w:p>
    <w:p w:rsidR="00937426" w:rsidRPr="00C80B08" w:rsidRDefault="00937426" w:rsidP="0035707B">
      <w:pPr>
        <w:pStyle w:val="ad"/>
        <w:jc w:val="both"/>
        <w:rPr>
          <w:rFonts w:ascii="Miriam" w:hAnsi="Miriam" w:cs="Miriam"/>
          <w:b/>
          <w:bCs/>
          <w:sz w:val="20"/>
          <w:szCs w:val="20"/>
          <w:rtl/>
        </w:rPr>
      </w:pPr>
      <w:r w:rsidRPr="00C80B08">
        <w:rPr>
          <w:rFonts w:ascii="Miriam" w:hAnsi="Miriam" w:cs="Miriam"/>
          <w:b/>
          <w:bCs/>
          <w:sz w:val="20"/>
          <w:szCs w:val="20"/>
          <w:rtl/>
        </w:rPr>
        <w:t>....</w:t>
      </w:r>
    </w:p>
    <w:p w:rsidR="00B0712E" w:rsidRPr="00C80B08" w:rsidRDefault="00937426" w:rsidP="0035707B">
      <w:pPr>
        <w:pStyle w:val="ad"/>
        <w:jc w:val="both"/>
        <w:rPr>
          <w:rFonts w:ascii="Miriam" w:hAnsi="Miriam" w:cs="Miriam"/>
          <w:b/>
          <w:bCs/>
          <w:sz w:val="20"/>
          <w:szCs w:val="20"/>
          <w:rtl/>
        </w:rPr>
      </w:pPr>
      <w:r w:rsidRPr="00C80B08">
        <w:rPr>
          <w:rFonts w:ascii="Miriam" w:hAnsi="Miriam" w:cs="Miriam"/>
          <w:b/>
          <w:bCs/>
          <w:sz w:val="20"/>
          <w:szCs w:val="20"/>
          <w:rtl/>
        </w:rPr>
        <w:t xml:space="preserve">אני רוצה לברך באופן מיוחד את הצדדים ובאי כוחם על </w:t>
      </w:r>
      <w:r w:rsidR="0035707B" w:rsidRPr="00C80B08">
        <w:rPr>
          <w:rFonts w:ascii="Miriam" w:hAnsi="Miriam" w:cs="Miriam"/>
          <w:b/>
          <w:bCs/>
          <w:sz w:val="20"/>
          <w:szCs w:val="20"/>
          <w:rtl/>
        </w:rPr>
        <w:t>המאמצים הרבים שעשו על מנת להביא תיק זה לסיומו ועל שיתוף הפעולה ביניהם מתוך רצון טוב..."</w:t>
      </w:r>
    </w:p>
    <w:p w:rsidR="00B0712E" w:rsidRDefault="00B0712E" w:rsidP="0035707B">
      <w:pPr>
        <w:pStyle w:val="ad"/>
        <w:jc w:val="both"/>
        <w:rPr>
          <w:rFonts w:ascii="David" w:hAnsi="David"/>
          <w:rtl/>
        </w:rPr>
      </w:pPr>
    </w:p>
    <w:p w:rsidR="003A25A7" w:rsidRPr="0035707B" w:rsidRDefault="003A25A7" w:rsidP="0035707B">
      <w:pPr>
        <w:pStyle w:val="ad"/>
        <w:jc w:val="both"/>
        <w:rPr>
          <w:rFonts w:ascii="David" w:hAnsi="David"/>
          <w:rtl/>
        </w:rPr>
      </w:pPr>
      <w:r w:rsidRPr="0035707B">
        <w:rPr>
          <w:rFonts w:ascii="David" w:hAnsi="David" w:hint="cs"/>
          <w:rtl/>
        </w:rPr>
        <w:t xml:space="preserve">(להלן: </w:t>
      </w:r>
      <w:r w:rsidRPr="00DF266A">
        <w:rPr>
          <w:rFonts w:ascii="Miriam" w:hAnsi="Miriam" w:cs="Miriam"/>
          <w:b/>
          <w:bCs/>
          <w:sz w:val="20"/>
          <w:szCs w:val="20"/>
          <w:rtl/>
        </w:rPr>
        <w:t>הסכם ההוצל"פ</w:t>
      </w:r>
      <w:r w:rsidRPr="0035707B">
        <w:rPr>
          <w:rFonts w:ascii="David" w:hAnsi="David" w:hint="cs"/>
          <w:rtl/>
        </w:rPr>
        <w:t>).</w:t>
      </w:r>
    </w:p>
    <w:p w:rsidR="002E7AEA" w:rsidRDefault="002E7AEA" w:rsidP="00CD3228">
      <w:pPr>
        <w:pStyle w:val="ad"/>
        <w:rPr>
          <w:rFonts w:ascii="David" w:hAnsi="David"/>
          <w:rtl/>
        </w:rPr>
      </w:pPr>
    </w:p>
    <w:p w:rsidR="00CD3228" w:rsidRDefault="00CD3228" w:rsidP="00B0712E">
      <w:pPr>
        <w:pStyle w:val="ad"/>
        <w:numPr>
          <w:ilvl w:val="0"/>
          <w:numId w:val="1"/>
        </w:numPr>
        <w:spacing w:line="360" w:lineRule="auto"/>
        <w:ind w:left="567" w:hanging="567"/>
        <w:jc w:val="both"/>
        <w:rPr>
          <w:rFonts w:ascii="David" w:hAnsi="David"/>
        </w:rPr>
      </w:pPr>
      <w:r w:rsidRPr="002E7AEA">
        <w:rPr>
          <w:rFonts w:ascii="David" w:hAnsi="David" w:hint="cs"/>
          <w:rtl/>
        </w:rPr>
        <w:t xml:space="preserve">למחרת היום, ביום 9.6.21, </w:t>
      </w:r>
      <w:r w:rsidR="00B0712E">
        <w:rPr>
          <w:rFonts w:ascii="David" w:hAnsi="David" w:hint="cs"/>
          <w:rtl/>
        </w:rPr>
        <w:t xml:space="preserve">הגישה האשה לתיק ההוצאה לפועל </w:t>
      </w:r>
      <w:r w:rsidRPr="002E7AEA">
        <w:rPr>
          <w:rFonts w:ascii="David" w:hAnsi="David" w:hint="cs"/>
          <w:rtl/>
        </w:rPr>
        <w:t xml:space="preserve">בקשה לביטול </w:t>
      </w:r>
      <w:r w:rsidR="00CF0145" w:rsidRPr="002E7AEA">
        <w:rPr>
          <w:rFonts w:ascii="David" w:hAnsi="David" w:hint="cs"/>
          <w:rtl/>
        </w:rPr>
        <w:t xml:space="preserve">הסכם </w:t>
      </w:r>
      <w:r w:rsidR="003A25A7" w:rsidRPr="002E7AEA">
        <w:rPr>
          <w:rFonts w:ascii="David" w:hAnsi="David" w:hint="cs"/>
          <w:rtl/>
        </w:rPr>
        <w:t>ההוצל"פ</w:t>
      </w:r>
      <w:r w:rsidR="00B0712E">
        <w:rPr>
          <w:rFonts w:ascii="David" w:hAnsi="David" w:hint="cs"/>
          <w:rtl/>
        </w:rPr>
        <w:t xml:space="preserve">. האשה </w:t>
      </w:r>
      <w:r w:rsidR="00CF0145" w:rsidRPr="002E7AEA">
        <w:rPr>
          <w:rFonts w:ascii="David" w:hAnsi="David" w:hint="cs"/>
          <w:rtl/>
        </w:rPr>
        <w:t>שבה והגישה בקשות נוספות באותו עניין עד אשר החליטה הרשמת כי הדבר אינו בסמכותה וכי על האשה לעתור בתביעה מתאימה לבית משפט זה</w:t>
      </w:r>
      <w:r w:rsidR="00B0712E">
        <w:rPr>
          <w:rFonts w:ascii="David" w:hAnsi="David" w:hint="cs"/>
          <w:rtl/>
        </w:rPr>
        <w:t>, וכך היה</w:t>
      </w:r>
      <w:r w:rsidR="00CF0145" w:rsidRPr="002E7AEA">
        <w:rPr>
          <w:rFonts w:ascii="David" w:hAnsi="David" w:hint="cs"/>
          <w:rtl/>
        </w:rPr>
        <w:t xml:space="preserve">. </w:t>
      </w:r>
    </w:p>
    <w:p w:rsidR="00DF266A" w:rsidRPr="00B0712E" w:rsidRDefault="00DF266A" w:rsidP="0037408F">
      <w:pPr>
        <w:pStyle w:val="ad"/>
        <w:spacing w:line="360" w:lineRule="auto"/>
        <w:ind w:left="567"/>
        <w:jc w:val="both"/>
        <w:rPr>
          <w:rFonts w:ascii="David" w:hAnsi="David"/>
          <w:sz w:val="16"/>
          <w:szCs w:val="16"/>
        </w:rPr>
      </w:pPr>
    </w:p>
    <w:p w:rsidR="003A25A7" w:rsidRDefault="0000467D" w:rsidP="0037408F">
      <w:pPr>
        <w:pStyle w:val="ad"/>
        <w:numPr>
          <w:ilvl w:val="0"/>
          <w:numId w:val="1"/>
        </w:numPr>
        <w:spacing w:line="360" w:lineRule="auto"/>
        <w:ind w:left="567" w:hanging="567"/>
        <w:jc w:val="both"/>
        <w:rPr>
          <w:rFonts w:ascii="David" w:hAnsi="David"/>
        </w:rPr>
      </w:pPr>
      <w:r w:rsidRPr="0037408F">
        <w:rPr>
          <w:rFonts w:ascii="David" w:hAnsi="David" w:hint="cs"/>
          <w:rtl/>
        </w:rPr>
        <w:t xml:space="preserve">לבית משפט זה, כאמור, הוגשו שתי תביעות כדלהלן:  </w:t>
      </w:r>
    </w:p>
    <w:p w:rsidR="0037408F" w:rsidRPr="00C80B08" w:rsidRDefault="0037408F" w:rsidP="0037408F">
      <w:pPr>
        <w:pStyle w:val="ad"/>
        <w:rPr>
          <w:rFonts w:ascii="David" w:hAnsi="David"/>
          <w:sz w:val="16"/>
          <w:szCs w:val="16"/>
          <w:rtl/>
        </w:rPr>
      </w:pPr>
    </w:p>
    <w:p w:rsidR="003A25A7" w:rsidRDefault="003A25A7" w:rsidP="001A6701">
      <w:pPr>
        <w:pStyle w:val="ad"/>
        <w:numPr>
          <w:ilvl w:val="0"/>
          <w:numId w:val="3"/>
        </w:numPr>
        <w:spacing w:line="360" w:lineRule="auto"/>
        <w:jc w:val="both"/>
        <w:rPr>
          <w:rFonts w:ascii="David" w:hAnsi="David"/>
        </w:rPr>
      </w:pPr>
      <w:r w:rsidRPr="001A6701">
        <w:rPr>
          <w:rFonts w:ascii="David" w:hAnsi="David" w:hint="cs"/>
          <w:u w:val="single"/>
          <w:rtl/>
        </w:rPr>
        <w:t xml:space="preserve">תלה"מ </w:t>
      </w:r>
      <w:r w:rsidR="0035707B" w:rsidRPr="001A6701">
        <w:rPr>
          <w:rFonts w:ascii="David" w:hAnsi="David" w:hint="cs"/>
          <w:u w:val="single"/>
          <w:rtl/>
        </w:rPr>
        <w:t>4655-11-20</w:t>
      </w:r>
      <w:r w:rsidR="001A6701">
        <w:rPr>
          <w:rFonts w:ascii="David" w:hAnsi="David" w:hint="cs"/>
          <w:rtl/>
        </w:rPr>
        <w:t>:</w:t>
      </w:r>
      <w:r>
        <w:rPr>
          <w:rFonts w:ascii="David" w:hAnsi="David" w:hint="cs"/>
          <w:rtl/>
        </w:rPr>
        <w:t xml:space="preserve"> תביעת האיש לדמי שימוש ראויים בסך של 255,000 ₪, זאת החל מיום </w:t>
      </w:r>
      <w:r w:rsidR="001A6701">
        <w:rPr>
          <w:rFonts w:ascii="David" w:hAnsi="David" w:hint="cs"/>
          <w:rtl/>
        </w:rPr>
        <w:t xml:space="preserve">16.5.2012 </w:t>
      </w:r>
      <w:r>
        <w:rPr>
          <w:rFonts w:ascii="David" w:hAnsi="David" w:hint="cs"/>
          <w:rtl/>
        </w:rPr>
        <w:t xml:space="preserve">ועד למועד הגשת התביעה. </w:t>
      </w:r>
    </w:p>
    <w:p w:rsidR="003A25A7" w:rsidRDefault="003A25A7" w:rsidP="001A6701">
      <w:pPr>
        <w:pStyle w:val="ad"/>
        <w:numPr>
          <w:ilvl w:val="0"/>
          <w:numId w:val="3"/>
        </w:numPr>
        <w:spacing w:line="360" w:lineRule="auto"/>
        <w:jc w:val="both"/>
        <w:rPr>
          <w:rFonts w:ascii="David" w:hAnsi="David"/>
          <w:rtl/>
        </w:rPr>
      </w:pPr>
      <w:r w:rsidRPr="001A6701">
        <w:rPr>
          <w:rFonts w:ascii="David" w:hAnsi="David" w:hint="cs"/>
          <w:u w:val="single"/>
          <w:rtl/>
        </w:rPr>
        <w:t xml:space="preserve">תלה"מ </w:t>
      </w:r>
      <w:r w:rsidR="001A6701" w:rsidRPr="001A6701">
        <w:rPr>
          <w:rFonts w:ascii="David" w:hAnsi="David" w:hint="cs"/>
          <w:u w:val="single"/>
          <w:rtl/>
        </w:rPr>
        <w:t>18595-09-21</w:t>
      </w:r>
      <w:r w:rsidR="001A6701">
        <w:rPr>
          <w:rFonts w:ascii="David" w:hAnsi="David" w:hint="cs"/>
          <w:rtl/>
        </w:rPr>
        <w:t>:</w:t>
      </w:r>
      <w:r>
        <w:rPr>
          <w:rFonts w:ascii="David" w:hAnsi="David" w:hint="cs"/>
          <w:rtl/>
        </w:rPr>
        <w:t xml:space="preserve"> תביעת האשה לביטול </w:t>
      </w:r>
      <w:r w:rsidR="0000467D">
        <w:rPr>
          <w:rFonts w:ascii="David" w:hAnsi="David" w:hint="cs"/>
          <w:rtl/>
        </w:rPr>
        <w:t>הסכם ההוצל"פ.</w:t>
      </w:r>
    </w:p>
    <w:p w:rsidR="003C2852" w:rsidRPr="001A6701" w:rsidRDefault="003C2852" w:rsidP="003C2852">
      <w:pPr>
        <w:pStyle w:val="ad"/>
        <w:rPr>
          <w:rFonts w:ascii="David" w:hAnsi="David"/>
          <w:sz w:val="16"/>
          <w:szCs w:val="16"/>
          <w:rtl/>
        </w:rPr>
      </w:pPr>
    </w:p>
    <w:p w:rsidR="00512665" w:rsidRDefault="00512665" w:rsidP="00512665">
      <w:pPr>
        <w:pStyle w:val="ad"/>
        <w:numPr>
          <w:ilvl w:val="0"/>
          <w:numId w:val="1"/>
        </w:numPr>
        <w:spacing w:line="360" w:lineRule="auto"/>
        <w:ind w:left="567" w:hanging="567"/>
        <w:jc w:val="both"/>
        <w:rPr>
          <w:rFonts w:ascii="David" w:hAnsi="David"/>
        </w:rPr>
      </w:pPr>
      <w:r>
        <w:rPr>
          <w:rFonts w:ascii="David" w:hAnsi="David" w:hint="cs"/>
          <w:rtl/>
        </w:rPr>
        <w:lastRenderedPageBreak/>
        <w:t>במסגרת ההליכים שבפני, הוריתי על מינוי מומחה (שמאי) לבחינת דמי השימוש הראויים בדירה, אשר הגיש את חוו"ד ממנה עולה כי דמי השכירות החודשיים לתקופה הרלוונטית לתביעה, הם כדלהלן:</w:t>
      </w:r>
    </w:p>
    <w:p w:rsidR="00512665" w:rsidRPr="00FD2328" w:rsidRDefault="00512665" w:rsidP="00512665">
      <w:pPr>
        <w:pStyle w:val="ad"/>
        <w:spacing w:line="360" w:lineRule="auto"/>
        <w:ind w:left="567"/>
        <w:jc w:val="both"/>
        <w:rPr>
          <w:rFonts w:ascii="David" w:hAnsi="David"/>
          <w:sz w:val="16"/>
          <w:szCs w:val="16"/>
          <w:rtl/>
        </w:rPr>
      </w:pPr>
    </w:p>
    <w:p w:rsidR="00512665" w:rsidRDefault="00512665" w:rsidP="009F19C6">
      <w:pPr>
        <w:pStyle w:val="ad"/>
        <w:spacing w:line="360" w:lineRule="auto"/>
        <w:ind w:left="567"/>
        <w:jc w:val="both"/>
        <w:rPr>
          <w:rFonts w:ascii="David" w:hAnsi="David"/>
          <w:i/>
          <w:iCs/>
          <w:u w:val="single"/>
          <w:rtl/>
        </w:rPr>
      </w:pPr>
      <w:r w:rsidRPr="00512665">
        <w:rPr>
          <w:rFonts w:ascii="David" w:hAnsi="David" w:hint="cs"/>
          <w:i/>
          <w:iCs/>
          <w:u w:val="single"/>
          <w:rtl/>
        </w:rPr>
        <w:t>שנה</w:t>
      </w:r>
      <w:r w:rsidRPr="00512665">
        <w:rPr>
          <w:rFonts w:ascii="David" w:hAnsi="David" w:hint="cs"/>
          <w:i/>
          <w:iCs/>
          <w:rtl/>
        </w:rPr>
        <w:tab/>
      </w:r>
      <w:r w:rsidRPr="00512665">
        <w:rPr>
          <w:rFonts w:ascii="David" w:hAnsi="David" w:hint="cs"/>
          <w:i/>
          <w:iCs/>
          <w:u w:val="single"/>
          <w:rtl/>
        </w:rPr>
        <w:t>דמ"ש חודשיים</w:t>
      </w:r>
      <w:r w:rsidR="009F19C6" w:rsidRPr="009F19C6">
        <w:rPr>
          <w:rFonts w:ascii="David" w:hAnsi="David"/>
          <w:i/>
          <w:iCs/>
          <w:rtl/>
        </w:rPr>
        <w:tab/>
      </w:r>
      <w:r w:rsidR="009F19C6">
        <w:rPr>
          <w:rFonts w:ascii="David" w:hAnsi="David"/>
          <w:i/>
          <w:iCs/>
          <w:rtl/>
        </w:rPr>
        <w:tab/>
      </w:r>
      <w:r w:rsidR="009F19C6" w:rsidRPr="009F19C6">
        <w:rPr>
          <w:rFonts w:ascii="David" w:hAnsi="David"/>
          <w:i/>
          <w:iCs/>
          <w:rtl/>
        </w:rPr>
        <w:tab/>
      </w:r>
      <w:r w:rsidR="009F19C6">
        <w:rPr>
          <w:rFonts w:ascii="David" w:hAnsi="David" w:hint="cs"/>
          <w:i/>
          <w:iCs/>
          <w:u w:val="single"/>
          <w:rtl/>
        </w:rPr>
        <w:t>שנה</w:t>
      </w:r>
      <w:r w:rsidR="009F19C6" w:rsidRPr="009F19C6">
        <w:rPr>
          <w:rFonts w:ascii="David" w:hAnsi="David"/>
          <w:i/>
          <w:iCs/>
          <w:rtl/>
        </w:rPr>
        <w:tab/>
      </w:r>
      <w:r w:rsidR="009F19C6">
        <w:rPr>
          <w:rFonts w:ascii="David" w:hAnsi="David" w:hint="cs"/>
          <w:i/>
          <w:iCs/>
          <w:u w:val="single"/>
          <w:rtl/>
        </w:rPr>
        <w:t>דמ"ש חודשיים</w:t>
      </w:r>
    </w:p>
    <w:p w:rsidR="00512665" w:rsidRDefault="00512665" w:rsidP="00512665">
      <w:pPr>
        <w:pStyle w:val="ad"/>
        <w:spacing w:line="360" w:lineRule="auto"/>
        <w:ind w:left="567"/>
        <w:jc w:val="both"/>
        <w:rPr>
          <w:rFonts w:ascii="David" w:hAnsi="David"/>
          <w:i/>
          <w:iCs/>
          <w:rtl/>
        </w:rPr>
      </w:pPr>
      <w:r w:rsidRPr="00512665">
        <w:rPr>
          <w:rFonts w:ascii="David" w:hAnsi="David" w:hint="cs"/>
          <w:i/>
          <w:iCs/>
          <w:rtl/>
        </w:rPr>
        <w:t>2012</w:t>
      </w:r>
      <w:r w:rsidR="009F19C6">
        <w:rPr>
          <w:rFonts w:ascii="David" w:hAnsi="David"/>
          <w:i/>
          <w:iCs/>
          <w:rtl/>
        </w:rPr>
        <w:tab/>
      </w:r>
      <w:r w:rsidR="009F19C6">
        <w:rPr>
          <w:rFonts w:ascii="David" w:hAnsi="David" w:hint="cs"/>
          <w:i/>
          <w:iCs/>
          <w:rtl/>
        </w:rPr>
        <w:t xml:space="preserve">5,470 ₪ </w:t>
      </w:r>
      <w:r w:rsidR="009F19C6">
        <w:rPr>
          <w:rFonts w:ascii="David" w:hAnsi="David"/>
          <w:i/>
          <w:iCs/>
          <w:rtl/>
        </w:rPr>
        <w:tab/>
      </w:r>
      <w:r w:rsidR="009F19C6">
        <w:rPr>
          <w:rFonts w:ascii="David" w:hAnsi="David"/>
          <w:i/>
          <w:iCs/>
          <w:rtl/>
        </w:rPr>
        <w:tab/>
      </w:r>
      <w:r w:rsidR="009F19C6">
        <w:rPr>
          <w:rFonts w:ascii="David" w:hAnsi="David"/>
          <w:i/>
          <w:iCs/>
          <w:rtl/>
        </w:rPr>
        <w:tab/>
      </w:r>
      <w:r w:rsidR="009F19C6">
        <w:rPr>
          <w:rFonts w:ascii="David" w:hAnsi="David" w:hint="cs"/>
          <w:i/>
          <w:iCs/>
          <w:rtl/>
        </w:rPr>
        <w:t>2017</w:t>
      </w:r>
      <w:r w:rsidR="009F19C6">
        <w:rPr>
          <w:rFonts w:ascii="David" w:hAnsi="David"/>
          <w:i/>
          <w:iCs/>
          <w:rtl/>
        </w:rPr>
        <w:tab/>
      </w:r>
      <w:r w:rsidR="009F19C6">
        <w:rPr>
          <w:rFonts w:ascii="David" w:hAnsi="David" w:hint="cs"/>
          <w:i/>
          <w:iCs/>
          <w:rtl/>
        </w:rPr>
        <w:t xml:space="preserve">5,970 ₪ </w:t>
      </w:r>
    </w:p>
    <w:p w:rsidR="00512665" w:rsidRDefault="00512665" w:rsidP="00512665">
      <w:pPr>
        <w:pStyle w:val="ad"/>
        <w:spacing w:line="360" w:lineRule="auto"/>
        <w:ind w:left="567"/>
        <w:jc w:val="both"/>
        <w:rPr>
          <w:rFonts w:ascii="David" w:hAnsi="David"/>
          <w:i/>
          <w:iCs/>
          <w:rtl/>
        </w:rPr>
      </w:pPr>
      <w:r>
        <w:rPr>
          <w:rFonts w:ascii="David" w:hAnsi="David" w:hint="cs"/>
          <w:i/>
          <w:iCs/>
          <w:rtl/>
        </w:rPr>
        <w:t>2013</w:t>
      </w:r>
      <w:r w:rsidR="009F19C6">
        <w:rPr>
          <w:rFonts w:ascii="David" w:hAnsi="David"/>
          <w:i/>
          <w:iCs/>
          <w:rtl/>
        </w:rPr>
        <w:tab/>
      </w:r>
      <w:r w:rsidR="009F19C6">
        <w:rPr>
          <w:rFonts w:ascii="David" w:hAnsi="David" w:hint="cs"/>
          <w:i/>
          <w:iCs/>
          <w:rtl/>
        </w:rPr>
        <w:t xml:space="preserve">5,600 ₪ </w:t>
      </w:r>
      <w:r w:rsidR="009F19C6">
        <w:rPr>
          <w:rFonts w:ascii="David" w:hAnsi="David"/>
          <w:i/>
          <w:iCs/>
          <w:rtl/>
        </w:rPr>
        <w:tab/>
      </w:r>
      <w:r w:rsidR="009F19C6">
        <w:rPr>
          <w:rFonts w:ascii="David" w:hAnsi="David"/>
          <w:i/>
          <w:iCs/>
          <w:rtl/>
        </w:rPr>
        <w:tab/>
      </w:r>
      <w:r w:rsidR="009F19C6">
        <w:rPr>
          <w:rFonts w:ascii="David" w:hAnsi="David"/>
          <w:i/>
          <w:iCs/>
          <w:rtl/>
        </w:rPr>
        <w:tab/>
      </w:r>
      <w:r w:rsidR="009F19C6">
        <w:rPr>
          <w:rFonts w:ascii="David" w:hAnsi="David" w:hint="cs"/>
          <w:i/>
          <w:iCs/>
          <w:rtl/>
        </w:rPr>
        <w:t>2018</w:t>
      </w:r>
      <w:r w:rsidR="009F19C6">
        <w:rPr>
          <w:rFonts w:ascii="David" w:hAnsi="David"/>
          <w:i/>
          <w:iCs/>
          <w:rtl/>
        </w:rPr>
        <w:tab/>
      </w:r>
      <w:r w:rsidR="009F19C6">
        <w:rPr>
          <w:rFonts w:ascii="David" w:hAnsi="David" w:hint="cs"/>
          <w:i/>
          <w:iCs/>
          <w:rtl/>
        </w:rPr>
        <w:t xml:space="preserve">6,180 ₪ </w:t>
      </w:r>
    </w:p>
    <w:p w:rsidR="00512665" w:rsidRDefault="00512665" w:rsidP="004A55E4">
      <w:pPr>
        <w:pStyle w:val="ad"/>
        <w:spacing w:line="360" w:lineRule="auto"/>
        <w:ind w:left="567"/>
        <w:jc w:val="both"/>
        <w:rPr>
          <w:rFonts w:ascii="David" w:hAnsi="David"/>
          <w:i/>
          <w:iCs/>
          <w:rtl/>
        </w:rPr>
      </w:pPr>
      <w:r>
        <w:rPr>
          <w:rFonts w:ascii="David" w:hAnsi="David" w:hint="cs"/>
          <w:i/>
          <w:iCs/>
          <w:rtl/>
        </w:rPr>
        <w:t>2014</w:t>
      </w:r>
      <w:r w:rsidR="009F19C6">
        <w:rPr>
          <w:rFonts w:ascii="David" w:hAnsi="David"/>
          <w:i/>
          <w:iCs/>
          <w:rtl/>
        </w:rPr>
        <w:tab/>
      </w:r>
      <w:r w:rsidR="009F19C6">
        <w:rPr>
          <w:rFonts w:ascii="David" w:hAnsi="David" w:hint="cs"/>
          <w:i/>
          <w:iCs/>
          <w:rtl/>
        </w:rPr>
        <w:t xml:space="preserve">5,700 ₪ </w:t>
      </w:r>
      <w:r w:rsidR="009F19C6">
        <w:rPr>
          <w:rFonts w:ascii="David" w:hAnsi="David"/>
          <w:i/>
          <w:iCs/>
          <w:rtl/>
        </w:rPr>
        <w:tab/>
      </w:r>
      <w:r w:rsidR="009F19C6">
        <w:rPr>
          <w:rFonts w:ascii="David" w:hAnsi="David"/>
          <w:i/>
          <w:iCs/>
          <w:rtl/>
        </w:rPr>
        <w:tab/>
      </w:r>
      <w:r w:rsidR="009F19C6">
        <w:rPr>
          <w:rFonts w:ascii="David" w:hAnsi="David"/>
          <w:i/>
          <w:iCs/>
          <w:rtl/>
        </w:rPr>
        <w:tab/>
      </w:r>
      <w:r w:rsidR="009F19C6">
        <w:rPr>
          <w:rFonts w:ascii="David" w:hAnsi="David" w:hint="cs"/>
          <w:i/>
          <w:iCs/>
          <w:rtl/>
        </w:rPr>
        <w:t>2019</w:t>
      </w:r>
      <w:r w:rsidR="009F19C6">
        <w:rPr>
          <w:rFonts w:ascii="David" w:hAnsi="David"/>
          <w:i/>
          <w:iCs/>
          <w:rtl/>
        </w:rPr>
        <w:tab/>
      </w:r>
      <w:r w:rsidR="004A55E4">
        <w:rPr>
          <w:rFonts w:ascii="David" w:hAnsi="David" w:hint="cs"/>
          <w:i/>
          <w:iCs/>
          <w:rtl/>
        </w:rPr>
        <w:t>6</w:t>
      </w:r>
      <w:r w:rsidR="009F19C6">
        <w:rPr>
          <w:rFonts w:ascii="David" w:hAnsi="David" w:hint="cs"/>
          <w:i/>
          <w:iCs/>
          <w:rtl/>
        </w:rPr>
        <w:t xml:space="preserve">,360 ₪ </w:t>
      </w:r>
    </w:p>
    <w:p w:rsidR="00512665" w:rsidRDefault="00512665" w:rsidP="00512665">
      <w:pPr>
        <w:pStyle w:val="ad"/>
        <w:spacing w:line="360" w:lineRule="auto"/>
        <w:ind w:left="567"/>
        <w:jc w:val="both"/>
        <w:rPr>
          <w:rFonts w:ascii="David" w:hAnsi="David"/>
          <w:i/>
          <w:iCs/>
          <w:rtl/>
        </w:rPr>
      </w:pPr>
      <w:r>
        <w:rPr>
          <w:rFonts w:ascii="David" w:hAnsi="David" w:hint="cs"/>
          <w:i/>
          <w:iCs/>
          <w:rtl/>
        </w:rPr>
        <w:t>2015</w:t>
      </w:r>
      <w:r w:rsidR="009F19C6">
        <w:rPr>
          <w:rFonts w:ascii="David" w:hAnsi="David"/>
          <w:i/>
          <w:iCs/>
          <w:rtl/>
        </w:rPr>
        <w:tab/>
      </w:r>
      <w:r w:rsidR="009F19C6">
        <w:rPr>
          <w:rFonts w:ascii="David" w:hAnsi="David" w:hint="cs"/>
          <w:i/>
          <w:iCs/>
          <w:rtl/>
        </w:rPr>
        <w:t xml:space="preserve">5,800 ₪ </w:t>
      </w:r>
      <w:r w:rsidR="009F19C6">
        <w:rPr>
          <w:rFonts w:ascii="David" w:hAnsi="David"/>
          <w:i/>
          <w:iCs/>
          <w:rtl/>
        </w:rPr>
        <w:tab/>
      </w:r>
      <w:r w:rsidR="009F19C6">
        <w:rPr>
          <w:rFonts w:ascii="David" w:hAnsi="David"/>
          <w:i/>
          <w:iCs/>
          <w:rtl/>
        </w:rPr>
        <w:tab/>
      </w:r>
      <w:r w:rsidR="009F19C6">
        <w:rPr>
          <w:rFonts w:ascii="David" w:hAnsi="David"/>
          <w:i/>
          <w:iCs/>
          <w:rtl/>
        </w:rPr>
        <w:tab/>
      </w:r>
      <w:r w:rsidR="009F19C6">
        <w:rPr>
          <w:rFonts w:ascii="David" w:hAnsi="David" w:hint="cs"/>
          <w:i/>
          <w:iCs/>
          <w:rtl/>
        </w:rPr>
        <w:t>2020</w:t>
      </w:r>
      <w:r w:rsidR="009F19C6">
        <w:rPr>
          <w:rFonts w:ascii="David" w:hAnsi="David"/>
          <w:i/>
          <w:iCs/>
          <w:rtl/>
        </w:rPr>
        <w:tab/>
      </w:r>
      <w:r w:rsidR="009F19C6">
        <w:rPr>
          <w:rFonts w:ascii="David" w:hAnsi="David" w:hint="cs"/>
          <w:i/>
          <w:iCs/>
          <w:rtl/>
        </w:rPr>
        <w:t xml:space="preserve">6,580 ₪ </w:t>
      </w:r>
    </w:p>
    <w:p w:rsidR="00512665" w:rsidRDefault="00512665" w:rsidP="00512665">
      <w:pPr>
        <w:pStyle w:val="ad"/>
        <w:spacing w:line="360" w:lineRule="auto"/>
        <w:ind w:left="567"/>
        <w:jc w:val="both"/>
        <w:rPr>
          <w:rFonts w:ascii="David" w:hAnsi="David"/>
          <w:i/>
          <w:iCs/>
          <w:rtl/>
        </w:rPr>
      </w:pPr>
      <w:r>
        <w:rPr>
          <w:rFonts w:ascii="David" w:hAnsi="David" w:hint="cs"/>
          <w:i/>
          <w:iCs/>
          <w:rtl/>
        </w:rPr>
        <w:t>2016</w:t>
      </w:r>
      <w:r w:rsidR="009F19C6">
        <w:rPr>
          <w:rFonts w:ascii="David" w:hAnsi="David"/>
          <w:i/>
          <w:iCs/>
          <w:rtl/>
        </w:rPr>
        <w:tab/>
      </w:r>
      <w:r w:rsidR="009F19C6">
        <w:rPr>
          <w:rFonts w:ascii="David" w:hAnsi="David" w:hint="cs"/>
          <w:i/>
          <w:iCs/>
          <w:rtl/>
        </w:rPr>
        <w:t xml:space="preserve">5,880 ₪ </w:t>
      </w:r>
      <w:r w:rsidR="009F19C6">
        <w:rPr>
          <w:rFonts w:ascii="David" w:hAnsi="David"/>
          <w:i/>
          <w:iCs/>
          <w:rtl/>
        </w:rPr>
        <w:tab/>
      </w:r>
      <w:r w:rsidR="009F19C6">
        <w:rPr>
          <w:rFonts w:ascii="David" w:hAnsi="David"/>
          <w:i/>
          <w:iCs/>
          <w:rtl/>
        </w:rPr>
        <w:tab/>
      </w:r>
      <w:r w:rsidR="009F19C6">
        <w:rPr>
          <w:rFonts w:ascii="David" w:hAnsi="David"/>
          <w:i/>
          <w:iCs/>
          <w:rtl/>
        </w:rPr>
        <w:tab/>
      </w:r>
      <w:r w:rsidR="009F19C6">
        <w:rPr>
          <w:rFonts w:ascii="David" w:hAnsi="David" w:hint="cs"/>
          <w:i/>
          <w:iCs/>
          <w:rtl/>
        </w:rPr>
        <w:t>2021</w:t>
      </w:r>
      <w:r w:rsidR="009F19C6">
        <w:rPr>
          <w:rFonts w:ascii="David" w:hAnsi="David" w:hint="cs"/>
          <w:i/>
          <w:iCs/>
          <w:rtl/>
        </w:rPr>
        <w:tab/>
        <w:t xml:space="preserve">7,000 ₪ </w:t>
      </w:r>
    </w:p>
    <w:p w:rsidR="00512665" w:rsidRPr="00FD2328" w:rsidRDefault="00512665" w:rsidP="009F19C6">
      <w:pPr>
        <w:pStyle w:val="ad"/>
        <w:spacing w:line="360" w:lineRule="auto"/>
        <w:ind w:left="567"/>
        <w:jc w:val="both"/>
        <w:rPr>
          <w:rFonts w:ascii="David" w:hAnsi="David"/>
          <w:sz w:val="16"/>
          <w:szCs w:val="16"/>
          <w:rtl/>
        </w:rPr>
      </w:pPr>
    </w:p>
    <w:p w:rsidR="00512665" w:rsidRDefault="009F19C6" w:rsidP="00F943ED">
      <w:pPr>
        <w:pStyle w:val="ad"/>
        <w:numPr>
          <w:ilvl w:val="0"/>
          <w:numId w:val="1"/>
        </w:numPr>
        <w:spacing w:line="360" w:lineRule="auto"/>
        <w:ind w:left="567" w:hanging="567"/>
        <w:jc w:val="both"/>
        <w:rPr>
          <w:rFonts w:ascii="David" w:hAnsi="David"/>
        </w:rPr>
      </w:pPr>
      <w:r>
        <w:rPr>
          <w:rFonts w:ascii="David" w:hAnsi="David" w:hint="cs"/>
          <w:rtl/>
        </w:rPr>
        <w:t xml:space="preserve">הצדדים נשמעו בפני ארוכות וכל ניסיונותי להביאם להסדר שיעצור את הסכסוך רב השנים, עלו בתוהו ולאחר שהוגשו אחרונים הסיכומים, בשלה העת ליתן פסק דין זה. </w:t>
      </w:r>
      <w:r w:rsidR="00F943ED">
        <w:rPr>
          <w:rFonts w:ascii="David" w:hAnsi="David" w:hint="cs"/>
          <w:rtl/>
        </w:rPr>
        <w:t xml:space="preserve">להלן </w:t>
      </w:r>
      <w:r w:rsidR="00B0005A">
        <w:rPr>
          <w:rFonts w:ascii="David" w:hAnsi="David" w:hint="cs"/>
          <w:rtl/>
        </w:rPr>
        <w:t>אדון בתביעות לפי סדר הגשתן</w:t>
      </w:r>
      <w:r w:rsidR="00F943ED">
        <w:rPr>
          <w:rFonts w:ascii="David" w:hAnsi="David" w:hint="cs"/>
          <w:rtl/>
        </w:rPr>
        <w:t xml:space="preserve">. </w:t>
      </w:r>
    </w:p>
    <w:p w:rsidR="00FD2328" w:rsidRPr="00FD2328" w:rsidRDefault="00FD2328" w:rsidP="00B0005A">
      <w:pPr>
        <w:spacing w:line="360" w:lineRule="auto"/>
        <w:jc w:val="both"/>
        <w:rPr>
          <w:rFonts w:ascii="David" w:hAnsi="David"/>
          <w:b/>
          <w:bCs/>
          <w:sz w:val="16"/>
          <w:szCs w:val="16"/>
          <w:rtl/>
        </w:rPr>
      </w:pPr>
    </w:p>
    <w:p w:rsidR="00B0005A" w:rsidRDefault="00B0005A" w:rsidP="00B0712E">
      <w:pPr>
        <w:spacing w:line="360" w:lineRule="auto"/>
        <w:jc w:val="both"/>
        <w:rPr>
          <w:rFonts w:ascii="David" w:hAnsi="David"/>
          <w:b/>
          <w:bCs/>
          <w:rtl/>
        </w:rPr>
      </w:pPr>
      <w:r>
        <w:rPr>
          <w:rFonts w:ascii="David" w:hAnsi="David" w:hint="cs"/>
          <w:b/>
          <w:bCs/>
          <w:rtl/>
        </w:rPr>
        <w:t xml:space="preserve">ב' </w:t>
      </w:r>
      <w:r>
        <w:rPr>
          <w:rFonts w:ascii="David" w:hAnsi="David"/>
          <w:b/>
          <w:bCs/>
          <w:rtl/>
        </w:rPr>
        <w:t>–</w:t>
      </w:r>
      <w:r>
        <w:rPr>
          <w:rFonts w:ascii="David" w:hAnsi="David" w:hint="cs"/>
          <w:b/>
          <w:bCs/>
          <w:rtl/>
        </w:rPr>
        <w:t xml:space="preserve"> התביעה לדמ</w:t>
      </w:r>
      <w:r w:rsidR="00B0712E">
        <w:rPr>
          <w:rFonts w:ascii="David" w:hAnsi="David" w:hint="cs"/>
          <w:b/>
          <w:bCs/>
          <w:rtl/>
        </w:rPr>
        <w:t>י שימוש ראויים:</w:t>
      </w:r>
      <w:r>
        <w:rPr>
          <w:rFonts w:ascii="David" w:hAnsi="David" w:hint="cs"/>
          <w:b/>
          <w:bCs/>
          <w:rtl/>
        </w:rPr>
        <w:t xml:space="preserve"> </w:t>
      </w:r>
    </w:p>
    <w:p w:rsidR="00B0005A" w:rsidRPr="00FD2328" w:rsidRDefault="00B0005A" w:rsidP="009F19C6">
      <w:pPr>
        <w:pStyle w:val="ad"/>
        <w:spacing w:line="360" w:lineRule="auto"/>
        <w:ind w:left="567"/>
        <w:jc w:val="both"/>
        <w:rPr>
          <w:rFonts w:ascii="David" w:hAnsi="David"/>
          <w:sz w:val="16"/>
          <w:szCs w:val="16"/>
        </w:rPr>
      </w:pPr>
    </w:p>
    <w:p w:rsidR="00512665" w:rsidRDefault="00B0005A" w:rsidP="00DF266A">
      <w:pPr>
        <w:pStyle w:val="ad"/>
        <w:numPr>
          <w:ilvl w:val="0"/>
          <w:numId w:val="1"/>
        </w:numPr>
        <w:spacing w:line="360" w:lineRule="auto"/>
        <w:ind w:left="567" w:hanging="567"/>
        <w:jc w:val="both"/>
        <w:rPr>
          <w:rFonts w:ascii="David" w:hAnsi="David"/>
        </w:rPr>
      </w:pPr>
      <w:r>
        <w:rPr>
          <w:rFonts w:ascii="David" w:hAnsi="David" w:hint="cs"/>
          <w:rtl/>
        </w:rPr>
        <w:t xml:space="preserve">כאמור, האיש הגיש תביעה </w:t>
      </w:r>
      <w:r w:rsidR="00F943ED">
        <w:rPr>
          <w:rFonts w:ascii="David" w:hAnsi="David" w:hint="cs"/>
          <w:rtl/>
        </w:rPr>
        <w:t xml:space="preserve">על </w:t>
      </w:r>
      <w:r>
        <w:rPr>
          <w:rFonts w:ascii="David" w:hAnsi="David" w:hint="cs"/>
          <w:rtl/>
        </w:rPr>
        <w:t>סך של 255,000 ₪ ב</w:t>
      </w:r>
      <w:r w:rsidR="00F943ED">
        <w:rPr>
          <w:rFonts w:ascii="David" w:hAnsi="David" w:hint="cs"/>
          <w:rtl/>
        </w:rPr>
        <w:t xml:space="preserve">גין </w:t>
      </w:r>
      <w:r>
        <w:rPr>
          <w:rFonts w:ascii="David" w:hAnsi="David" w:hint="cs"/>
          <w:rtl/>
        </w:rPr>
        <w:t>מגוריה של האשה בדיר</w:t>
      </w:r>
      <w:r w:rsidR="00F943ED">
        <w:rPr>
          <w:rFonts w:ascii="David" w:hAnsi="David" w:hint="cs"/>
          <w:rtl/>
        </w:rPr>
        <w:t>ה</w:t>
      </w:r>
      <w:r>
        <w:rPr>
          <w:rFonts w:ascii="David" w:hAnsi="David" w:hint="cs"/>
          <w:rtl/>
        </w:rPr>
        <w:t xml:space="preserve"> החל מהמועד בו הדירה אמורה הייתה להימכר (16.5.2012) ועד למועד הגשת התביעה (2.11.2020). </w:t>
      </w:r>
      <w:r w:rsidR="00CD0175">
        <w:rPr>
          <w:rFonts w:ascii="David" w:hAnsi="David" w:hint="cs"/>
          <w:rtl/>
        </w:rPr>
        <w:t>בהתאם לחוות הדעת, מחצית מדמי השכירות הראויים לכל התקופה (7.5 חודשים בשנת 2012, 12 חודשים בשנים 2013 עד 2019 וכן 11 חודשים בשנת 2020) עומדת על סך של 3</w:t>
      </w:r>
      <w:r w:rsidR="004A55E4">
        <w:rPr>
          <w:rFonts w:ascii="David" w:hAnsi="David" w:hint="cs"/>
          <w:rtl/>
        </w:rPr>
        <w:t>05</w:t>
      </w:r>
      <w:r w:rsidR="00CD0175">
        <w:rPr>
          <w:rFonts w:ascii="David" w:hAnsi="David" w:hint="cs"/>
          <w:rtl/>
        </w:rPr>
        <w:t xml:space="preserve">,642 ₪, בערכים נומינליים בלבד (ללא הצמדה ו/או ריבית). למרות האמור לעיל, האיש לא עתר לתיקון כתב התביעה לאחר קבלת חוות הדעת ובהתאם לכלל שאין פוסקים לתובע מעבר למה שתבע, אראה בסכום התביעה המקסימלי את הסך שתבע </w:t>
      </w:r>
      <w:r w:rsidR="00CD0175">
        <w:rPr>
          <w:rFonts w:ascii="David" w:hAnsi="David"/>
          <w:rtl/>
        </w:rPr>
        <w:t>–</w:t>
      </w:r>
      <w:r w:rsidR="00CD0175">
        <w:rPr>
          <w:rFonts w:ascii="David" w:hAnsi="David" w:hint="cs"/>
          <w:rtl/>
        </w:rPr>
        <w:t xml:space="preserve"> 255,000 ₪.</w:t>
      </w:r>
    </w:p>
    <w:p w:rsidR="00CD0175" w:rsidRPr="00FD2328" w:rsidRDefault="00CD0175" w:rsidP="00CD0175">
      <w:pPr>
        <w:spacing w:line="360" w:lineRule="auto"/>
        <w:jc w:val="both"/>
        <w:rPr>
          <w:rFonts w:ascii="David" w:hAnsi="David"/>
          <w:sz w:val="16"/>
          <w:szCs w:val="16"/>
          <w:rtl/>
        </w:rPr>
      </w:pPr>
    </w:p>
    <w:p w:rsidR="003454ED" w:rsidRPr="00CD0175" w:rsidRDefault="003454ED" w:rsidP="003454ED">
      <w:pPr>
        <w:spacing w:line="360" w:lineRule="auto"/>
        <w:jc w:val="both"/>
        <w:rPr>
          <w:rFonts w:ascii="David" w:hAnsi="David"/>
          <w:b/>
          <w:bCs/>
          <w:rtl/>
        </w:rPr>
      </w:pPr>
      <w:r>
        <w:rPr>
          <w:rFonts w:ascii="David" w:hAnsi="David" w:hint="cs"/>
          <w:b/>
          <w:bCs/>
          <w:rtl/>
        </w:rPr>
        <w:t xml:space="preserve">ב.1. </w:t>
      </w:r>
      <w:r>
        <w:rPr>
          <w:rFonts w:ascii="David" w:hAnsi="David"/>
          <w:b/>
          <w:bCs/>
          <w:rtl/>
        </w:rPr>
        <w:t>–</w:t>
      </w:r>
      <w:r>
        <w:rPr>
          <w:rFonts w:ascii="David" w:hAnsi="David" w:hint="cs"/>
          <w:b/>
          <w:bCs/>
          <w:rtl/>
        </w:rPr>
        <w:t xml:space="preserve"> טענות הצדדים: </w:t>
      </w:r>
    </w:p>
    <w:p w:rsidR="00CD0175" w:rsidRPr="00FD2328" w:rsidRDefault="00CD0175" w:rsidP="00CD0175">
      <w:pPr>
        <w:pStyle w:val="ad"/>
        <w:spacing w:line="360" w:lineRule="auto"/>
        <w:ind w:left="567"/>
        <w:jc w:val="both"/>
        <w:rPr>
          <w:rFonts w:ascii="David" w:hAnsi="David"/>
          <w:sz w:val="16"/>
          <w:szCs w:val="16"/>
        </w:rPr>
      </w:pPr>
    </w:p>
    <w:p w:rsidR="00CD0175" w:rsidRDefault="00CD0175" w:rsidP="004B6A7C">
      <w:pPr>
        <w:pStyle w:val="ad"/>
        <w:numPr>
          <w:ilvl w:val="0"/>
          <w:numId w:val="1"/>
        </w:numPr>
        <w:spacing w:line="360" w:lineRule="auto"/>
        <w:ind w:left="567" w:hanging="567"/>
        <w:jc w:val="both"/>
        <w:rPr>
          <w:rFonts w:ascii="David" w:hAnsi="David"/>
        </w:rPr>
      </w:pPr>
      <w:r>
        <w:rPr>
          <w:rFonts w:ascii="David" w:hAnsi="David" w:hint="cs"/>
          <w:rtl/>
        </w:rPr>
        <w:t>להלן עיקר טענות ה</w:t>
      </w:r>
      <w:r w:rsidR="004B6A7C">
        <w:rPr>
          <w:rFonts w:ascii="David" w:hAnsi="David" w:hint="cs"/>
          <w:rtl/>
        </w:rPr>
        <w:t>איש</w:t>
      </w:r>
      <w:r>
        <w:rPr>
          <w:rFonts w:ascii="David" w:hAnsi="David" w:hint="cs"/>
          <w:rtl/>
        </w:rPr>
        <w:t>:</w:t>
      </w:r>
    </w:p>
    <w:p w:rsidR="00CD0175" w:rsidRPr="009B6FC5" w:rsidRDefault="00CD0175" w:rsidP="00CD0175">
      <w:pPr>
        <w:pStyle w:val="ad"/>
        <w:spacing w:line="360" w:lineRule="auto"/>
        <w:ind w:left="567"/>
        <w:jc w:val="both"/>
        <w:rPr>
          <w:rFonts w:ascii="David" w:hAnsi="David"/>
          <w:sz w:val="16"/>
          <w:szCs w:val="16"/>
          <w:rtl/>
        </w:rPr>
      </w:pPr>
    </w:p>
    <w:p w:rsidR="00CD0175" w:rsidRDefault="00E45A9E" w:rsidP="004B6A7C">
      <w:pPr>
        <w:pStyle w:val="ad"/>
        <w:numPr>
          <w:ilvl w:val="0"/>
          <w:numId w:val="5"/>
        </w:numPr>
        <w:spacing w:line="360" w:lineRule="auto"/>
        <w:jc w:val="both"/>
        <w:rPr>
          <w:rFonts w:ascii="David" w:hAnsi="David"/>
        </w:rPr>
      </w:pPr>
      <w:r>
        <w:rPr>
          <w:rFonts w:ascii="David" w:hAnsi="David" w:hint="cs"/>
          <w:rtl/>
        </w:rPr>
        <w:t>כבר בשנת 2016 מונה הנאמן בהליכי הפש"ר של האישה</w:t>
      </w:r>
      <w:r w:rsidR="004B6A7C">
        <w:rPr>
          <w:rFonts w:ascii="David" w:hAnsi="David" w:hint="cs"/>
          <w:rtl/>
        </w:rPr>
        <w:t xml:space="preserve">, ובמקביל עתר האיש </w:t>
      </w:r>
      <w:r w:rsidR="00F943ED">
        <w:rPr>
          <w:rFonts w:ascii="David" w:hAnsi="David" w:hint="cs"/>
          <w:rtl/>
        </w:rPr>
        <w:t xml:space="preserve">עתר </w:t>
      </w:r>
      <w:r>
        <w:rPr>
          <w:rFonts w:ascii="David" w:hAnsi="David" w:hint="cs"/>
          <w:rtl/>
        </w:rPr>
        <w:t xml:space="preserve">למכור את הדירה ולמרות זאת, האשה </w:t>
      </w:r>
      <w:r w:rsidR="004B6A7C">
        <w:rPr>
          <w:rFonts w:ascii="David" w:hAnsi="David" w:hint="cs"/>
          <w:rtl/>
        </w:rPr>
        <w:t xml:space="preserve">סיכלה ועודנה </w:t>
      </w:r>
      <w:r>
        <w:rPr>
          <w:rFonts w:ascii="David" w:hAnsi="David" w:hint="cs"/>
          <w:rtl/>
        </w:rPr>
        <w:t>מסכלת את המכירה בטענה שהאיש חייב לה כספים.</w:t>
      </w:r>
      <w:r w:rsidR="00395290">
        <w:rPr>
          <w:rFonts w:ascii="David" w:hAnsi="David" w:hint="cs"/>
          <w:rtl/>
        </w:rPr>
        <w:t xml:space="preserve"> </w:t>
      </w:r>
      <w:r w:rsidRPr="00395290">
        <w:rPr>
          <w:rFonts w:ascii="David" w:hAnsi="David" w:hint="cs"/>
          <w:rtl/>
        </w:rPr>
        <w:t>האיש הבהיר חזור והבהר כי אף אם ייקבע כי הוא חייב לאשה כספים מתוך חלקה בקצבאות ששולמו לו ממשרד הביטחון, הרי שחובו יוכל להיפרע רק מתוך מכירת הדירה</w:t>
      </w:r>
      <w:r w:rsidR="00F943ED">
        <w:rPr>
          <w:rFonts w:ascii="David" w:hAnsi="David" w:hint="cs"/>
          <w:rtl/>
        </w:rPr>
        <w:t xml:space="preserve">, שכן, לדבריו, </w:t>
      </w:r>
      <w:r w:rsidR="00D56867" w:rsidRPr="00395290">
        <w:rPr>
          <w:rFonts w:ascii="David" w:hAnsi="David" w:hint="cs"/>
          <w:rtl/>
        </w:rPr>
        <w:t>אין בידיו כספים</w:t>
      </w:r>
      <w:r w:rsidR="004B6A7C">
        <w:rPr>
          <w:rFonts w:ascii="David" w:hAnsi="David" w:hint="cs"/>
          <w:rtl/>
        </w:rPr>
        <w:t xml:space="preserve"> אחרים</w:t>
      </w:r>
      <w:r w:rsidRPr="00395290">
        <w:rPr>
          <w:rFonts w:ascii="David" w:hAnsi="David" w:hint="cs"/>
          <w:rtl/>
        </w:rPr>
        <w:t xml:space="preserve">. </w:t>
      </w:r>
    </w:p>
    <w:p w:rsidR="0060084B" w:rsidRDefault="0060084B" w:rsidP="0060084B">
      <w:pPr>
        <w:pStyle w:val="ad"/>
        <w:numPr>
          <w:ilvl w:val="0"/>
          <w:numId w:val="5"/>
        </w:numPr>
        <w:spacing w:line="360" w:lineRule="auto"/>
        <w:jc w:val="both"/>
        <w:rPr>
          <w:rFonts w:ascii="David" w:hAnsi="David"/>
        </w:rPr>
      </w:pPr>
      <w:r>
        <w:rPr>
          <w:rFonts w:ascii="David" w:hAnsi="David" w:hint="cs"/>
          <w:rtl/>
        </w:rPr>
        <w:t xml:space="preserve">האשה מתגוררת בדירה אף לאחר שהבת הצעירה בגרה והיא מסרבת למכור את הדירה ולאפשר לאיש לקבל את חלקו. </w:t>
      </w:r>
    </w:p>
    <w:p w:rsidR="00C80B08" w:rsidRDefault="00C80B08" w:rsidP="00C80B08">
      <w:pPr>
        <w:pStyle w:val="ad"/>
        <w:spacing w:line="360" w:lineRule="auto"/>
        <w:ind w:left="927"/>
        <w:jc w:val="both"/>
        <w:rPr>
          <w:rFonts w:ascii="David" w:hAnsi="David"/>
          <w:rtl/>
        </w:rPr>
      </w:pPr>
    </w:p>
    <w:p w:rsidR="00C80B08" w:rsidRDefault="00C80B08" w:rsidP="00C80B08">
      <w:pPr>
        <w:pStyle w:val="ad"/>
        <w:spacing w:line="360" w:lineRule="auto"/>
        <w:ind w:left="927"/>
        <w:jc w:val="both"/>
        <w:rPr>
          <w:rFonts w:ascii="David" w:hAnsi="David"/>
        </w:rPr>
      </w:pPr>
    </w:p>
    <w:p w:rsidR="00395290" w:rsidRPr="00395290" w:rsidRDefault="00E45A9E" w:rsidP="00D56867">
      <w:pPr>
        <w:pStyle w:val="ad"/>
        <w:numPr>
          <w:ilvl w:val="0"/>
          <w:numId w:val="5"/>
        </w:numPr>
        <w:spacing w:line="360" w:lineRule="auto"/>
        <w:jc w:val="both"/>
        <w:rPr>
          <w:rFonts w:ascii="David" w:hAnsi="David"/>
        </w:rPr>
      </w:pPr>
      <w:r>
        <w:rPr>
          <w:rFonts w:ascii="David" w:hAnsi="David" w:hint="cs"/>
          <w:rtl/>
        </w:rPr>
        <w:lastRenderedPageBreak/>
        <w:t xml:space="preserve">רק ביום 9.9.2020 </w:t>
      </w:r>
      <w:r w:rsidR="00395290">
        <w:rPr>
          <w:rFonts w:ascii="David" w:hAnsi="David" w:hint="cs"/>
          <w:rtl/>
        </w:rPr>
        <w:t xml:space="preserve">אישר בית המשפט המחוזי לאיש </w:t>
      </w:r>
      <w:r w:rsidR="00D56867">
        <w:rPr>
          <w:rFonts w:ascii="David" w:hAnsi="David" w:hint="cs"/>
          <w:rtl/>
        </w:rPr>
        <w:t>(</w:t>
      </w:r>
      <w:r w:rsidR="00395290">
        <w:rPr>
          <w:rFonts w:ascii="David" w:hAnsi="David" w:hint="cs"/>
          <w:rtl/>
        </w:rPr>
        <w:t>במסגרת הליכי הפש"ר</w:t>
      </w:r>
      <w:r w:rsidR="00D56867">
        <w:rPr>
          <w:rFonts w:ascii="David" w:hAnsi="David" w:hint="cs"/>
          <w:rtl/>
        </w:rPr>
        <w:t>)</w:t>
      </w:r>
      <w:r w:rsidR="00395290">
        <w:rPr>
          <w:rFonts w:ascii="David" w:hAnsi="David" w:hint="cs"/>
          <w:rtl/>
        </w:rPr>
        <w:t xml:space="preserve"> להגיש תביעה לדמ"ש כנגד האשה ומאחר ו</w:t>
      </w:r>
      <w:r w:rsidR="00395290" w:rsidRPr="00395290">
        <w:rPr>
          <w:rFonts w:ascii="David" w:hAnsi="David" w:hint="cs"/>
          <w:rtl/>
        </w:rPr>
        <w:t xml:space="preserve">השנים חולפות והאשה מוסיפה להתגורר בדירה ללא תשלום לאיש, </w:t>
      </w:r>
      <w:r w:rsidR="00395290">
        <w:rPr>
          <w:rFonts w:ascii="David" w:hAnsi="David" w:hint="cs"/>
          <w:rtl/>
        </w:rPr>
        <w:t xml:space="preserve">לא נותרה לו כל ברירה אלא </w:t>
      </w:r>
      <w:r w:rsidR="00395290" w:rsidRPr="00395290">
        <w:rPr>
          <w:rFonts w:ascii="David" w:hAnsi="David" w:hint="cs"/>
          <w:rtl/>
        </w:rPr>
        <w:t xml:space="preserve">לתבוע </w:t>
      </w:r>
      <w:r w:rsidR="00395290">
        <w:rPr>
          <w:rFonts w:ascii="David" w:hAnsi="David" w:hint="cs"/>
          <w:rtl/>
        </w:rPr>
        <w:t xml:space="preserve">מהאשה </w:t>
      </w:r>
      <w:r w:rsidR="00395290" w:rsidRPr="00395290">
        <w:rPr>
          <w:rFonts w:ascii="David" w:hAnsi="David" w:hint="cs"/>
          <w:rtl/>
        </w:rPr>
        <w:t>דמי שימוש ראויים עד למכירת הדירה וחלוקת התמורה.</w:t>
      </w:r>
    </w:p>
    <w:p w:rsidR="00CD0175" w:rsidRPr="0060084B" w:rsidRDefault="00CD0175" w:rsidP="00CD0175">
      <w:pPr>
        <w:pStyle w:val="ad"/>
        <w:spacing w:line="360" w:lineRule="auto"/>
        <w:ind w:left="567"/>
        <w:jc w:val="both"/>
        <w:rPr>
          <w:rFonts w:ascii="David" w:hAnsi="David"/>
          <w:sz w:val="16"/>
          <w:szCs w:val="16"/>
        </w:rPr>
      </w:pPr>
    </w:p>
    <w:p w:rsidR="00CD0175" w:rsidRDefault="00CD0175" w:rsidP="004B6A7C">
      <w:pPr>
        <w:pStyle w:val="ad"/>
        <w:numPr>
          <w:ilvl w:val="0"/>
          <w:numId w:val="1"/>
        </w:numPr>
        <w:spacing w:line="360" w:lineRule="auto"/>
        <w:ind w:left="567" w:hanging="567"/>
        <w:jc w:val="both"/>
        <w:rPr>
          <w:rFonts w:ascii="David" w:hAnsi="David"/>
        </w:rPr>
      </w:pPr>
      <w:r>
        <w:rPr>
          <w:rFonts w:ascii="David" w:hAnsi="David" w:hint="cs"/>
          <w:rtl/>
        </w:rPr>
        <w:t>להלן עיקר טענות ה</w:t>
      </w:r>
      <w:r w:rsidR="004B6A7C">
        <w:rPr>
          <w:rFonts w:ascii="David" w:hAnsi="David" w:hint="cs"/>
          <w:rtl/>
        </w:rPr>
        <w:t>אשה</w:t>
      </w:r>
      <w:r>
        <w:rPr>
          <w:rFonts w:ascii="David" w:hAnsi="David" w:hint="cs"/>
          <w:rtl/>
        </w:rPr>
        <w:t>:</w:t>
      </w:r>
    </w:p>
    <w:p w:rsidR="00395290" w:rsidRPr="00FD2328" w:rsidRDefault="00395290" w:rsidP="00395290">
      <w:pPr>
        <w:pStyle w:val="ad"/>
        <w:spacing w:line="360" w:lineRule="auto"/>
        <w:ind w:left="567"/>
        <w:jc w:val="both"/>
        <w:rPr>
          <w:rFonts w:ascii="David" w:hAnsi="David"/>
          <w:sz w:val="16"/>
          <w:szCs w:val="16"/>
          <w:rtl/>
        </w:rPr>
      </w:pPr>
    </w:p>
    <w:p w:rsidR="00BB0899" w:rsidRDefault="00395290" w:rsidP="00D56867">
      <w:pPr>
        <w:pStyle w:val="ad"/>
        <w:numPr>
          <w:ilvl w:val="0"/>
          <w:numId w:val="6"/>
        </w:numPr>
        <w:spacing w:line="360" w:lineRule="auto"/>
        <w:jc w:val="both"/>
        <w:rPr>
          <w:rFonts w:ascii="David" w:hAnsi="David"/>
        </w:rPr>
      </w:pPr>
      <w:r>
        <w:rPr>
          <w:rFonts w:ascii="David" w:hAnsi="David" w:hint="cs"/>
          <w:rtl/>
        </w:rPr>
        <w:t xml:space="preserve">עילת התביעה התגבשה ביום 16.5.2012 </w:t>
      </w:r>
      <w:r w:rsidR="004B6A7C" w:rsidRPr="004B6A7C">
        <w:rPr>
          <w:rFonts w:ascii="David" w:hAnsi="David" w:hint="cs"/>
          <w:rtl/>
        </w:rPr>
        <w:t xml:space="preserve">ולכן </w:t>
      </w:r>
      <w:r w:rsidRPr="00214CF3">
        <w:rPr>
          <w:rFonts w:ascii="David" w:hAnsi="David" w:hint="cs"/>
          <w:b/>
          <w:bCs/>
          <w:rtl/>
        </w:rPr>
        <w:t>"תקופת ההתיישנות חלפה, ותביעתו התיישנה ויש לסלקה על הסף"</w:t>
      </w:r>
      <w:r>
        <w:rPr>
          <w:rFonts w:ascii="David" w:hAnsi="David" w:hint="cs"/>
          <w:rtl/>
        </w:rPr>
        <w:t xml:space="preserve"> (ר' סעיף 1 לכתב ההגנה). לחילופין, האיש השתהה </w:t>
      </w:r>
      <w:r w:rsidR="00D56867">
        <w:rPr>
          <w:rFonts w:ascii="David" w:hAnsi="David" w:hint="cs"/>
          <w:rtl/>
        </w:rPr>
        <w:t>ו</w:t>
      </w:r>
      <w:r>
        <w:rPr>
          <w:rFonts w:ascii="David" w:hAnsi="David" w:hint="cs"/>
          <w:rtl/>
        </w:rPr>
        <w:t>ישן על זכויותיו שיהוי כבד, ובכך אינו עומד בחובת תום הלב המזכה תובע בתביעה</w:t>
      </w:r>
      <w:r w:rsidR="00BB0899">
        <w:rPr>
          <w:rFonts w:ascii="David" w:hAnsi="David" w:hint="cs"/>
          <w:rtl/>
        </w:rPr>
        <w:t xml:space="preserve"> מסוג זה.</w:t>
      </w:r>
    </w:p>
    <w:p w:rsidR="00BB0899" w:rsidRDefault="00BB0899" w:rsidP="00395290">
      <w:pPr>
        <w:pStyle w:val="ad"/>
        <w:numPr>
          <w:ilvl w:val="0"/>
          <w:numId w:val="6"/>
        </w:numPr>
        <w:spacing w:line="360" w:lineRule="auto"/>
        <w:jc w:val="both"/>
        <w:rPr>
          <w:rFonts w:ascii="David" w:hAnsi="David"/>
        </w:rPr>
      </w:pPr>
      <w:r>
        <w:rPr>
          <w:rFonts w:ascii="David" w:hAnsi="David" w:hint="cs"/>
          <w:rtl/>
        </w:rPr>
        <w:t>האיש אינו מקיים אחר התחייבויותיו ואינו משלם לאשה את חלקה בקצבאות שקיבל ממשרד הביטחון.</w:t>
      </w:r>
    </w:p>
    <w:p w:rsidR="00BB0899" w:rsidRDefault="00BB0899" w:rsidP="00395290">
      <w:pPr>
        <w:pStyle w:val="ad"/>
        <w:numPr>
          <w:ilvl w:val="0"/>
          <w:numId w:val="6"/>
        </w:numPr>
        <w:spacing w:line="360" w:lineRule="auto"/>
        <w:jc w:val="both"/>
        <w:rPr>
          <w:rFonts w:ascii="David" w:hAnsi="David"/>
        </w:rPr>
      </w:pPr>
      <w:r>
        <w:rPr>
          <w:rFonts w:ascii="David" w:hAnsi="David" w:hint="cs"/>
          <w:rtl/>
        </w:rPr>
        <w:t>האיש עתר פעמיים בתביעות לביטול ההסכם, מה שמלמד על כך שאינו מתכוון לקיים אחר ההסכם ולכן אין להושיט לו סעד. התנהלותו של האיש חסרת תום לב, שאין בה כדי לזכות אותו בדמי שימוש ראויים.</w:t>
      </w:r>
    </w:p>
    <w:p w:rsidR="00FD2328" w:rsidRPr="00FD2328" w:rsidRDefault="00FD2328" w:rsidP="00FD2328">
      <w:pPr>
        <w:pStyle w:val="ad"/>
        <w:spacing w:line="360" w:lineRule="auto"/>
        <w:ind w:left="927"/>
        <w:jc w:val="both"/>
        <w:rPr>
          <w:rFonts w:ascii="David" w:hAnsi="David"/>
          <w:sz w:val="16"/>
          <w:szCs w:val="16"/>
        </w:rPr>
      </w:pPr>
    </w:p>
    <w:p w:rsidR="00BB0899" w:rsidRPr="00BB0899" w:rsidRDefault="00BB0899" w:rsidP="00BB0899">
      <w:pPr>
        <w:spacing w:line="360" w:lineRule="auto"/>
        <w:jc w:val="both"/>
        <w:rPr>
          <w:rFonts w:ascii="David" w:hAnsi="David"/>
          <w:b/>
          <w:bCs/>
          <w:rtl/>
        </w:rPr>
      </w:pPr>
      <w:r w:rsidRPr="00BB0899">
        <w:rPr>
          <w:rFonts w:ascii="David" w:hAnsi="David" w:hint="cs"/>
          <w:b/>
          <w:bCs/>
          <w:rtl/>
        </w:rPr>
        <w:t xml:space="preserve">ב.2. </w:t>
      </w:r>
      <w:r w:rsidRPr="00BB0899">
        <w:rPr>
          <w:rFonts w:ascii="David" w:hAnsi="David"/>
          <w:b/>
          <w:bCs/>
          <w:rtl/>
        </w:rPr>
        <w:t>–</w:t>
      </w:r>
      <w:r w:rsidRPr="00BB0899">
        <w:rPr>
          <w:rFonts w:ascii="David" w:hAnsi="David" w:hint="cs"/>
          <w:b/>
          <w:bCs/>
          <w:rtl/>
        </w:rPr>
        <w:t xml:space="preserve"> דיון:</w:t>
      </w:r>
    </w:p>
    <w:p w:rsidR="00CD0175" w:rsidRPr="00FD2328" w:rsidRDefault="00CD0175" w:rsidP="00CD0175">
      <w:pPr>
        <w:pStyle w:val="ad"/>
        <w:rPr>
          <w:rFonts w:ascii="David" w:hAnsi="David"/>
          <w:sz w:val="16"/>
          <w:szCs w:val="16"/>
          <w:rtl/>
        </w:rPr>
      </w:pPr>
    </w:p>
    <w:p w:rsidR="00C77625" w:rsidRDefault="00C77625" w:rsidP="00C77625">
      <w:pPr>
        <w:pStyle w:val="ad"/>
        <w:numPr>
          <w:ilvl w:val="0"/>
          <w:numId w:val="1"/>
        </w:numPr>
        <w:spacing w:line="360" w:lineRule="auto"/>
        <w:ind w:left="567" w:hanging="567"/>
        <w:jc w:val="both"/>
        <w:rPr>
          <w:rFonts w:ascii="David" w:hAnsi="David"/>
        </w:rPr>
      </w:pPr>
      <w:r>
        <w:rPr>
          <w:rFonts w:ascii="David" w:hAnsi="David" w:hint="cs"/>
          <w:rtl/>
        </w:rPr>
        <w:t>תחילה לעניין ההתיישנות; כידוע, תביעה לדמי שימוש ראויים היא תביעה בעילה מתחדשת, שכן כל יום שבו אדם מתגורר בביתו של פלוני, לכאורה, קמה לפלוני עילת תביעה נפרדת. במקרה דנן, המועד שנקבע למכירת הדירה היה ביום 16.5.2012 וממועד זה ואילך, לכאורה, עומדת לאיש עילת תביעה מתחדשת. האיש הגיש את תביעתו ביום 2.11.2020, כך שלכל היותר, התקופה שהתיישנה ושבגינה לא יוכל לתבוע, היא מיום 16.5.2012 ועד ליום 2.11.2013, כלומר: תקופה של כשנה וחצי.</w:t>
      </w:r>
    </w:p>
    <w:p w:rsidR="009C6E50" w:rsidRPr="00FD2328" w:rsidRDefault="009C6E50" w:rsidP="009C6E50">
      <w:pPr>
        <w:pStyle w:val="ad"/>
        <w:spacing w:line="360" w:lineRule="auto"/>
        <w:ind w:left="567"/>
        <w:jc w:val="both"/>
        <w:rPr>
          <w:rFonts w:ascii="David" w:hAnsi="David"/>
          <w:sz w:val="16"/>
          <w:szCs w:val="16"/>
        </w:rPr>
      </w:pPr>
    </w:p>
    <w:p w:rsidR="00AF7904" w:rsidRDefault="00EC0810" w:rsidP="00FD2328">
      <w:pPr>
        <w:pStyle w:val="ad"/>
        <w:numPr>
          <w:ilvl w:val="0"/>
          <w:numId w:val="1"/>
        </w:numPr>
        <w:spacing w:line="360" w:lineRule="auto"/>
        <w:ind w:left="567" w:hanging="567"/>
        <w:jc w:val="both"/>
        <w:rPr>
          <w:rFonts w:ascii="David" w:hAnsi="David"/>
        </w:rPr>
      </w:pPr>
      <w:r w:rsidRPr="009C6E50">
        <w:rPr>
          <w:rFonts w:ascii="David" w:hAnsi="David" w:hint="cs"/>
          <w:rtl/>
        </w:rPr>
        <w:t xml:space="preserve">לאחר שבחנתי את הראיות שבתיק, </w:t>
      </w:r>
      <w:r w:rsidR="00B0712E">
        <w:rPr>
          <w:rFonts w:ascii="David" w:hAnsi="David" w:hint="cs"/>
          <w:rtl/>
        </w:rPr>
        <w:t xml:space="preserve">מצאתי </w:t>
      </w:r>
      <w:r w:rsidR="00AF7904">
        <w:rPr>
          <w:rFonts w:ascii="David" w:hAnsi="David" w:hint="cs"/>
          <w:rtl/>
        </w:rPr>
        <w:t>לקבל את טענת ההתיישנות בחלקה. אין חולק כי האיש הגיש בקשה לתיק הפש"ר למתן היתר להגשת תביעה זו רק ביום 4.6.</w:t>
      </w:r>
      <w:r w:rsidR="00FD2328">
        <w:rPr>
          <w:rFonts w:ascii="David" w:hAnsi="David" w:hint="cs"/>
          <w:rtl/>
        </w:rPr>
        <w:t>2020</w:t>
      </w:r>
      <w:r w:rsidR="00AF7904">
        <w:rPr>
          <w:rFonts w:ascii="David" w:hAnsi="David" w:hint="cs"/>
          <w:rtl/>
        </w:rPr>
        <w:t xml:space="preserve"> והחלטה שמתירה לו להגיש את כתב התביעה ניתנה ביום 9.9.</w:t>
      </w:r>
      <w:r w:rsidR="00FD2328">
        <w:rPr>
          <w:rFonts w:ascii="David" w:hAnsi="David" w:hint="cs"/>
          <w:rtl/>
        </w:rPr>
        <w:t>2020</w:t>
      </w:r>
      <w:r w:rsidR="00AF7904">
        <w:rPr>
          <w:rFonts w:ascii="David" w:hAnsi="David" w:hint="cs"/>
          <w:rtl/>
        </w:rPr>
        <w:t>. יוצא, איפוא, כי ממועד הגשת הבקשה ועד למועד מתן ההחלטה המתירה לו להגיש את התביעה, הייתה מניעה אובייקטיבית מהגשת התביעה ומשכך, יש לראות את המועד העוצר את ההתיישנות ביום 4.6.</w:t>
      </w:r>
      <w:r w:rsidR="00FD2328">
        <w:rPr>
          <w:rFonts w:ascii="David" w:hAnsi="David" w:hint="cs"/>
          <w:rtl/>
        </w:rPr>
        <w:t>2020</w:t>
      </w:r>
      <w:r w:rsidR="00AF7904">
        <w:rPr>
          <w:rFonts w:ascii="David" w:hAnsi="David" w:hint="cs"/>
          <w:rtl/>
        </w:rPr>
        <w:t>, כך שכל עילת תביעה שקודמת ל 7 שנים טרם המועד הנ"ל, למעשה, התיישנה.</w:t>
      </w:r>
    </w:p>
    <w:p w:rsidR="0060084B" w:rsidRPr="0060084B" w:rsidRDefault="0060084B" w:rsidP="0060084B">
      <w:pPr>
        <w:pStyle w:val="ad"/>
        <w:spacing w:line="360" w:lineRule="auto"/>
        <w:ind w:left="567"/>
        <w:jc w:val="both"/>
        <w:rPr>
          <w:rFonts w:ascii="David" w:hAnsi="David"/>
          <w:sz w:val="16"/>
          <w:szCs w:val="16"/>
        </w:rPr>
      </w:pPr>
    </w:p>
    <w:p w:rsidR="00AF7904" w:rsidRPr="0060084B" w:rsidRDefault="00AF7904" w:rsidP="0060084B">
      <w:pPr>
        <w:pStyle w:val="ad"/>
        <w:numPr>
          <w:ilvl w:val="0"/>
          <w:numId w:val="1"/>
        </w:numPr>
        <w:spacing w:line="360" w:lineRule="auto"/>
        <w:ind w:left="567" w:hanging="567"/>
        <w:jc w:val="both"/>
        <w:rPr>
          <w:rFonts w:ascii="David" w:hAnsi="David"/>
        </w:rPr>
      </w:pPr>
      <w:r>
        <w:rPr>
          <w:rFonts w:ascii="David" w:hAnsi="David" w:hint="cs"/>
          <w:rtl/>
        </w:rPr>
        <w:t>טענתו של האיש משל לא יכול היה להגיש תביעה ברבות השנים מאחר והתנהל תיק פש"ר, נדחית בזאת שכן דבר לא מנע ממנו להגיש בקשה למתן היתר לתבוע את האשה קודם לכן, בדיוק כפי שעשה ב 4.6.</w:t>
      </w:r>
      <w:r w:rsidR="00FD2328">
        <w:rPr>
          <w:rFonts w:ascii="David" w:hAnsi="David" w:hint="cs"/>
          <w:rtl/>
        </w:rPr>
        <w:t>2020</w:t>
      </w:r>
      <w:r>
        <w:rPr>
          <w:rFonts w:ascii="David" w:hAnsi="David" w:hint="cs"/>
          <w:rtl/>
        </w:rPr>
        <w:t>.</w:t>
      </w:r>
      <w:r w:rsidR="0060084B">
        <w:rPr>
          <w:rFonts w:ascii="David" w:hAnsi="David" w:hint="cs"/>
          <w:rtl/>
        </w:rPr>
        <w:t xml:space="preserve"> </w:t>
      </w:r>
      <w:r w:rsidRPr="0060084B">
        <w:rPr>
          <w:rFonts w:ascii="David" w:hAnsi="David" w:hint="cs"/>
          <w:rtl/>
        </w:rPr>
        <w:t>אשר על כן, כתב תביעה זה יתייחס לתשלום דמי שכירות ראויים החל מיום 4.6.2013 ו</w:t>
      </w:r>
      <w:r w:rsidR="0038440E" w:rsidRPr="0060084B">
        <w:rPr>
          <w:rFonts w:ascii="David" w:hAnsi="David" w:hint="cs"/>
          <w:rtl/>
        </w:rPr>
        <w:t xml:space="preserve">עד למועד </w:t>
      </w:r>
      <w:r w:rsidRPr="0060084B">
        <w:rPr>
          <w:rFonts w:ascii="David" w:hAnsi="David" w:hint="cs"/>
          <w:rtl/>
        </w:rPr>
        <w:t>הגש</w:t>
      </w:r>
      <w:r w:rsidR="0038440E" w:rsidRPr="0060084B">
        <w:rPr>
          <w:rFonts w:ascii="David" w:hAnsi="David" w:hint="cs"/>
          <w:rtl/>
        </w:rPr>
        <w:t>ת התביעה.</w:t>
      </w:r>
    </w:p>
    <w:p w:rsidR="007F16D0" w:rsidRDefault="007F16D0" w:rsidP="007F16D0">
      <w:pPr>
        <w:pStyle w:val="ad"/>
        <w:spacing w:line="360" w:lineRule="auto"/>
        <w:ind w:left="567"/>
        <w:jc w:val="both"/>
        <w:rPr>
          <w:rFonts w:ascii="David" w:hAnsi="David"/>
          <w:sz w:val="16"/>
          <w:szCs w:val="16"/>
          <w:rtl/>
        </w:rPr>
      </w:pPr>
    </w:p>
    <w:p w:rsidR="00C80B08" w:rsidRDefault="00C80B08" w:rsidP="007F16D0">
      <w:pPr>
        <w:pStyle w:val="ad"/>
        <w:spacing w:line="360" w:lineRule="auto"/>
        <w:ind w:left="567"/>
        <w:jc w:val="both"/>
        <w:rPr>
          <w:rFonts w:ascii="David" w:hAnsi="David"/>
          <w:sz w:val="16"/>
          <w:szCs w:val="16"/>
          <w:rtl/>
        </w:rPr>
      </w:pPr>
    </w:p>
    <w:p w:rsidR="00C80B08" w:rsidRPr="0038440E" w:rsidRDefault="00C80B08" w:rsidP="007F16D0">
      <w:pPr>
        <w:pStyle w:val="ad"/>
        <w:spacing w:line="360" w:lineRule="auto"/>
        <w:ind w:left="567"/>
        <w:jc w:val="both"/>
        <w:rPr>
          <w:rFonts w:ascii="David" w:hAnsi="David"/>
          <w:sz w:val="16"/>
          <w:szCs w:val="16"/>
        </w:rPr>
      </w:pPr>
    </w:p>
    <w:p w:rsidR="002F0238" w:rsidRDefault="00A57C48" w:rsidP="0077502F">
      <w:pPr>
        <w:pStyle w:val="ad"/>
        <w:numPr>
          <w:ilvl w:val="0"/>
          <w:numId w:val="1"/>
        </w:numPr>
        <w:spacing w:line="360" w:lineRule="auto"/>
        <w:ind w:left="567" w:hanging="567"/>
        <w:jc w:val="both"/>
        <w:rPr>
          <w:rFonts w:ascii="David" w:hAnsi="David"/>
        </w:rPr>
      </w:pPr>
      <w:r w:rsidRPr="0060084B">
        <w:rPr>
          <w:rFonts w:ascii="David" w:hAnsi="David" w:hint="cs"/>
          <w:rtl/>
        </w:rPr>
        <w:lastRenderedPageBreak/>
        <w:t xml:space="preserve">באשר לטענות ההגנה של האשה; לצערי הרב, האשה כורכת וממשיכה לכרוך את תשלומי הקצבאות שקיבל האיש לעצם זכותו של האיש לעתור לדמי שימוש ראויים. הצדדים הופיעו בפני וצברתי עמם שעות לא מעטות, ולצערי </w:t>
      </w:r>
      <w:r w:rsidR="00A37258" w:rsidRPr="0060084B">
        <w:rPr>
          <w:rFonts w:ascii="David" w:hAnsi="David" w:hint="cs"/>
          <w:rtl/>
        </w:rPr>
        <w:t>הרב, ושוב, הדברים נכתבים במלוא ה</w:t>
      </w:r>
      <w:r w:rsidRPr="0060084B">
        <w:rPr>
          <w:rFonts w:ascii="David" w:hAnsi="David" w:hint="cs"/>
          <w:rtl/>
        </w:rPr>
        <w:t xml:space="preserve">צער, התרשמתי כי </w:t>
      </w:r>
      <w:r w:rsidRPr="0060084B">
        <w:rPr>
          <w:rFonts w:ascii="David" w:hAnsi="David" w:hint="cs"/>
          <w:b/>
          <w:bCs/>
          <w:i/>
          <w:iCs/>
          <w:rtl/>
        </w:rPr>
        <w:t>לחלוטין לא אצה</w:t>
      </w:r>
      <w:r w:rsidRPr="0060084B">
        <w:rPr>
          <w:rFonts w:ascii="David" w:hAnsi="David" w:hint="cs"/>
          <w:rtl/>
        </w:rPr>
        <w:t xml:space="preserve"> לאשה הדרך לסיים </w:t>
      </w:r>
      <w:r w:rsidR="002F0238" w:rsidRPr="0060084B">
        <w:rPr>
          <w:rFonts w:ascii="David" w:hAnsi="David" w:hint="cs"/>
          <w:rtl/>
        </w:rPr>
        <w:t>א</w:t>
      </w:r>
      <w:r w:rsidRPr="0060084B">
        <w:rPr>
          <w:rFonts w:ascii="David" w:hAnsi="David" w:hint="cs"/>
          <w:rtl/>
        </w:rPr>
        <w:t xml:space="preserve">חת לתמיד את הסכסוך הכספי עם האיש. </w:t>
      </w:r>
      <w:r w:rsidR="0060084B" w:rsidRPr="0060084B">
        <w:rPr>
          <w:rFonts w:ascii="David" w:hAnsi="David" w:hint="cs"/>
          <w:rtl/>
        </w:rPr>
        <w:t xml:space="preserve">להתרשמותי, האשה </w:t>
      </w:r>
      <w:r w:rsidR="0060084B">
        <w:rPr>
          <w:rFonts w:ascii="David" w:hAnsi="David" w:hint="cs"/>
          <w:rtl/>
        </w:rPr>
        <w:t>מסכלת הגעה לפיתרון מהיר שכן בדרך זו (אי הגעה לפיתרון) היא ממשיכה להתגורר בדירה המשותפת (דירת פנטהאוז) מבלי לחלוק עם האיש את תמורתה ו/או לשלם לו עבור שימושה בה.</w:t>
      </w:r>
    </w:p>
    <w:p w:rsidR="0060084B" w:rsidRPr="0060084B" w:rsidRDefault="0060084B" w:rsidP="0060084B">
      <w:pPr>
        <w:pStyle w:val="ad"/>
        <w:spacing w:line="360" w:lineRule="auto"/>
        <w:ind w:left="567"/>
        <w:jc w:val="both"/>
        <w:rPr>
          <w:rFonts w:ascii="David" w:hAnsi="David"/>
          <w:sz w:val="16"/>
          <w:szCs w:val="16"/>
          <w:rtl/>
        </w:rPr>
      </w:pPr>
    </w:p>
    <w:p w:rsidR="002F0238" w:rsidRPr="0060084B" w:rsidRDefault="002F0238" w:rsidP="00C80B08">
      <w:pPr>
        <w:pStyle w:val="ad"/>
        <w:numPr>
          <w:ilvl w:val="0"/>
          <w:numId w:val="1"/>
        </w:numPr>
        <w:spacing w:line="360" w:lineRule="auto"/>
        <w:ind w:left="567" w:hanging="567"/>
        <w:jc w:val="both"/>
        <w:rPr>
          <w:rFonts w:ascii="David" w:hAnsi="David"/>
        </w:rPr>
      </w:pPr>
      <w:r w:rsidRPr="002F0238">
        <w:rPr>
          <w:rFonts w:ascii="Arial" w:hAnsi="Arial"/>
          <w:noProof w:val="0"/>
          <w:rtl/>
        </w:rPr>
        <w:t xml:space="preserve">סעיף 33 לחוק המקרקעין, תשכ"ט 1969, קובע את העיקרון לפיו שותף שהשתמש במקרקעין משותפים, חייב ליתר השותפים, לפי חלקיהם במקרקעין, שכר ראוי בעד השימוש. </w:t>
      </w:r>
      <w:r w:rsidR="00EC030A">
        <w:rPr>
          <w:rFonts w:ascii="Arial" w:hAnsi="Arial" w:hint="cs"/>
          <w:noProof w:val="0"/>
          <w:rtl/>
        </w:rPr>
        <w:t xml:space="preserve">תכלית </w:t>
      </w:r>
      <w:r w:rsidRPr="002F0238">
        <w:rPr>
          <w:rFonts w:ascii="Arial" w:hAnsi="Arial"/>
          <w:noProof w:val="0"/>
          <w:rtl/>
        </w:rPr>
        <w:t xml:space="preserve">עיקרון זה </w:t>
      </w:r>
      <w:r w:rsidR="00EC030A">
        <w:rPr>
          <w:rFonts w:ascii="Arial" w:hAnsi="Arial" w:hint="cs"/>
          <w:noProof w:val="0"/>
          <w:rtl/>
        </w:rPr>
        <w:t xml:space="preserve">היא </w:t>
      </w:r>
      <w:r w:rsidRPr="002F0238">
        <w:rPr>
          <w:rFonts w:ascii="Arial" w:hAnsi="Arial"/>
          <w:noProof w:val="0"/>
          <w:rtl/>
        </w:rPr>
        <w:t xml:space="preserve">מניעת עשיית עושר ולא במשפט (ר' </w:t>
      </w:r>
      <w:r w:rsidRPr="002F0238">
        <w:rPr>
          <w:rFonts w:ascii="David" w:hAnsi="David"/>
          <w:noProof w:val="0"/>
          <w:rtl/>
          <w:lang w:eastAsia="he-IL"/>
        </w:rPr>
        <w:t xml:space="preserve">ע"א 891/95 </w:t>
      </w:r>
      <w:r w:rsidRPr="002F0238">
        <w:rPr>
          <w:rFonts w:ascii="David" w:hAnsi="David"/>
          <w:b/>
          <w:bCs/>
          <w:noProof w:val="0"/>
          <w:rtl/>
          <w:lang w:eastAsia="he-IL"/>
        </w:rPr>
        <w:t>זידאני נ' אבו אחמד</w:t>
      </w:r>
      <w:r w:rsidRPr="002F0238">
        <w:rPr>
          <w:rFonts w:ascii="David" w:hAnsi="David"/>
          <w:noProof w:val="0"/>
          <w:rtl/>
          <w:lang w:eastAsia="he-IL"/>
        </w:rPr>
        <w:t xml:space="preserve">, פ"ד נג(4) 769, 778 (1999); ד' פרידמן - דיני עשיית עושר ולא במשפט (מהדורה שנייה תשנ"ח (432)). </w:t>
      </w:r>
      <w:r w:rsidR="0060084B">
        <w:rPr>
          <w:rFonts w:ascii="David" w:hAnsi="David" w:hint="cs"/>
          <w:noProof w:val="0"/>
          <w:rtl/>
          <w:lang w:eastAsia="he-IL"/>
        </w:rPr>
        <w:t xml:space="preserve"> </w:t>
      </w:r>
      <w:r w:rsidRPr="0060084B">
        <w:rPr>
          <w:rFonts w:ascii="David" w:hAnsi="David"/>
          <w:noProof w:val="0"/>
          <w:rtl/>
          <w:lang w:eastAsia="he-IL"/>
        </w:rPr>
        <w:t xml:space="preserve">בהתאם להלכה שנקבעה בע"א 1492/90 </w:t>
      </w:r>
      <w:r w:rsidRPr="0060084B">
        <w:rPr>
          <w:rFonts w:ascii="David" w:hAnsi="David"/>
          <w:b/>
          <w:bCs/>
          <w:noProof w:val="0"/>
          <w:rtl/>
          <w:lang w:eastAsia="he-IL"/>
        </w:rPr>
        <w:t>זרקא נ' פארס</w:t>
      </w:r>
      <w:r w:rsidRPr="0060084B">
        <w:rPr>
          <w:rFonts w:ascii="David" w:hAnsi="David"/>
          <w:noProof w:val="0"/>
          <w:rtl/>
          <w:lang w:eastAsia="he-IL"/>
        </w:rPr>
        <w:t xml:space="preserve"> (נבו, 20.1.93)</w:t>
      </w:r>
      <w:bookmarkStart w:id="1" w:name="_Toc447144415"/>
      <w:bookmarkStart w:id="2" w:name="_Toc378070907"/>
      <w:bookmarkStart w:id="3" w:name="_Toc375487812"/>
      <w:bookmarkStart w:id="4" w:name="_Toc375041624"/>
      <w:bookmarkStart w:id="5" w:name="_Toc373137706"/>
      <w:r w:rsidRPr="0060084B">
        <w:rPr>
          <w:rFonts w:ascii="David" w:hAnsi="David"/>
          <w:noProof w:val="0"/>
          <w:rtl/>
          <w:lang w:eastAsia="he-IL"/>
        </w:rPr>
        <w:t>, החיוב בדמי שימוש ראויים קם רק אם השותף השתמש באופן בלעדי, שימוש אשר מנע שימוש מיתר השותפים</w:t>
      </w:r>
      <w:bookmarkEnd w:id="1"/>
      <w:bookmarkEnd w:id="2"/>
      <w:bookmarkEnd w:id="3"/>
      <w:bookmarkEnd w:id="4"/>
      <w:bookmarkEnd w:id="5"/>
      <w:r w:rsidRPr="0060084B">
        <w:rPr>
          <w:rFonts w:ascii="David" w:hAnsi="David"/>
          <w:noProof w:val="0"/>
          <w:rtl/>
          <w:lang w:eastAsia="he-IL"/>
        </w:rPr>
        <w:t>. על הלכה זו נמתחה ביקורת ואין זה המקום להרחיב בעניין, שכן כך או כך, אין עוררין כי שימושה של האשה בדירה מנע מהאיש כל שימוש בה מאחר ועסקינן בבני זוג לשעבר, שהתגרשו זמ"ז בג"פ, שאינם מתגוררים יחדיו שנים, מה גם שמבחינה הלכתית-דתית מגוריהם אסורים</w:t>
      </w:r>
      <w:r w:rsidRPr="0060084B">
        <w:rPr>
          <w:rFonts w:ascii="David" w:hAnsi="David" w:hint="cs"/>
          <w:noProof w:val="0"/>
          <w:rtl/>
          <w:lang w:eastAsia="he-IL"/>
        </w:rPr>
        <w:t xml:space="preserve"> ו</w:t>
      </w:r>
      <w:r w:rsidRPr="0060084B">
        <w:rPr>
          <w:rFonts w:ascii="David" w:hAnsi="David"/>
          <w:noProof w:val="0"/>
          <w:rtl/>
          <w:lang w:eastAsia="he-IL"/>
        </w:rPr>
        <w:t xml:space="preserve">ברירת המחדל היא פסיקת דמי שימוש ראויים לטובת בן זוג לשעבר ששותפו האחר עושה שימוש </w:t>
      </w:r>
      <w:r w:rsidR="00CF7E06" w:rsidRPr="0060084B">
        <w:rPr>
          <w:rFonts w:ascii="David" w:hAnsi="David" w:hint="cs"/>
          <w:noProof w:val="0"/>
          <w:rtl/>
          <w:lang w:eastAsia="he-IL"/>
        </w:rPr>
        <w:t>ב</w:t>
      </w:r>
      <w:r w:rsidRPr="0060084B">
        <w:rPr>
          <w:rFonts w:ascii="David" w:hAnsi="David"/>
          <w:noProof w:val="0"/>
          <w:rtl/>
          <w:lang w:eastAsia="he-IL"/>
        </w:rPr>
        <w:t>דירה</w:t>
      </w:r>
      <w:r w:rsidRPr="0060084B">
        <w:rPr>
          <w:rFonts w:ascii="David" w:hAnsi="David" w:hint="cs"/>
          <w:noProof w:val="0"/>
          <w:rtl/>
          <w:lang w:eastAsia="he-IL"/>
        </w:rPr>
        <w:t xml:space="preserve"> (ר' </w:t>
      </w:r>
      <w:r w:rsidRPr="00767175">
        <w:rPr>
          <w:rFonts w:ascii="David" w:hAnsi="David"/>
          <w:noProof w:val="0"/>
          <w:rtl/>
          <w:lang w:eastAsia="he-IL"/>
        </w:rPr>
        <w:t xml:space="preserve">בע"מ </w:t>
      </w:r>
      <w:r w:rsidRPr="00767175">
        <w:rPr>
          <w:rFonts w:ascii="David" w:hAnsi="David"/>
          <w:noProof w:val="0"/>
          <w:rtl/>
        </w:rPr>
        <w:t>5357/06</w:t>
      </w:r>
      <w:r w:rsidRPr="00767175">
        <w:rPr>
          <w:rFonts w:ascii="David" w:hAnsi="David"/>
          <w:b/>
          <w:bCs/>
          <w:noProof w:val="0"/>
          <w:rtl/>
        </w:rPr>
        <w:t xml:space="preserve"> </w:t>
      </w:r>
      <w:r w:rsidR="00767175" w:rsidRPr="00767175">
        <w:rPr>
          <w:rFonts w:ascii="David" w:hAnsi="David" w:hint="cs"/>
          <w:b/>
          <w:bCs/>
          <w:noProof w:val="0"/>
          <w:rtl/>
        </w:rPr>
        <w:t>פלוני נ' פלוני</w:t>
      </w:r>
      <w:r w:rsidR="00767175" w:rsidRPr="00767175">
        <w:rPr>
          <w:rFonts w:ascii="David" w:hAnsi="David" w:hint="cs"/>
          <w:noProof w:val="0"/>
          <w:rtl/>
        </w:rPr>
        <w:t xml:space="preserve"> (נבו</w:t>
      </w:r>
      <w:r w:rsidR="00F83AA5">
        <w:rPr>
          <w:rFonts w:ascii="David" w:hAnsi="David" w:hint="cs"/>
          <w:noProof w:val="0"/>
          <w:rtl/>
        </w:rPr>
        <w:t>,</w:t>
      </w:r>
      <w:r w:rsidR="00767175" w:rsidRPr="00767175">
        <w:rPr>
          <w:rFonts w:ascii="David" w:hAnsi="David" w:hint="cs"/>
          <w:noProof w:val="0"/>
          <w:rtl/>
        </w:rPr>
        <w:t xml:space="preserve"> 22.10.2006</w:t>
      </w:r>
      <w:r w:rsidRPr="0060084B">
        <w:rPr>
          <w:rFonts w:ascii="David" w:hAnsi="David" w:hint="cs"/>
          <w:noProof w:val="0"/>
          <w:rtl/>
        </w:rPr>
        <w:t>)</w:t>
      </w:r>
      <w:r w:rsidR="00767175">
        <w:rPr>
          <w:rFonts w:ascii="David" w:hAnsi="David" w:hint="cs"/>
          <w:noProof w:val="0"/>
          <w:rtl/>
        </w:rPr>
        <w:t>)</w:t>
      </w:r>
      <w:r w:rsidRPr="0060084B">
        <w:rPr>
          <w:rFonts w:ascii="David" w:hAnsi="David" w:hint="cs"/>
          <w:noProof w:val="0"/>
          <w:rtl/>
        </w:rPr>
        <w:t>.</w:t>
      </w:r>
      <w:r w:rsidRPr="0060084B">
        <w:rPr>
          <w:rFonts w:ascii="David" w:hAnsi="David" w:hint="cs"/>
          <w:b/>
          <w:bCs/>
          <w:noProof w:val="0"/>
          <w:rtl/>
        </w:rPr>
        <w:t xml:space="preserve"> </w:t>
      </w:r>
    </w:p>
    <w:p w:rsidR="002F0238" w:rsidRPr="00C80B08" w:rsidRDefault="002F0238" w:rsidP="002F0238">
      <w:pPr>
        <w:pStyle w:val="ad"/>
        <w:rPr>
          <w:rFonts w:ascii="David" w:hAnsi="David"/>
          <w:sz w:val="16"/>
          <w:szCs w:val="16"/>
          <w:rtl/>
        </w:rPr>
      </w:pPr>
    </w:p>
    <w:p w:rsidR="002F0238" w:rsidRDefault="002F0238" w:rsidP="002F0238">
      <w:pPr>
        <w:pStyle w:val="ad"/>
        <w:numPr>
          <w:ilvl w:val="0"/>
          <w:numId w:val="1"/>
        </w:numPr>
        <w:spacing w:line="360" w:lineRule="auto"/>
        <w:ind w:left="567" w:hanging="567"/>
        <w:jc w:val="both"/>
        <w:rPr>
          <w:rFonts w:ascii="David" w:hAnsi="David"/>
        </w:rPr>
      </w:pPr>
      <w:r w:rsidRPr="002F0238">
        <w:rPr>
          <w:rFonts w:ascii="David" w:hAnsi="David"/>
          <w:noProof w:val="0"/>
          <w:rtl/>
          <w:lang w:eastAsia="he-IL"/>
        </w:rPr>
        <w:t xml:space="preserve">בענייננו, לא היה </w:t>
      </w:r>
      <w:r>
        <w:rPr>
          <w:rFonts w:ascii="David" w:hAnsi="David" w:hint="cs"/>
          <w:noProof w:val="0"/>
          <w:rtl/>
          <w:lang w:eastAsia="he-IL"/>
        </w:rPr>
        <w:t xml:space="preserve">כל ויתור מצידו של האיש באשר לקבלת דמי שימוש ראויים, </w:t>
      </w:r>
      <w:r w:rsidRPr="002F0238">
        <w:rPr>
          <w:rFonts w:ascii="David" w:hAnsi="David"/>
          <w:noProof w:val="0"/>
          <w:rtl/>
          <w:lang w:eastAsia="he-IL"/>
        </w:rPr>
        <w:t>לא כל שכן, ויתור מפורש</w:t>
      </w:r>
      <w:r>
        <w:rPr>
          <w:rFonts w:ascii="David" w:hAnsi="David" w:hint="cs"/>
          <w:noProof w:val="0"/>
          <w:rtl/>
          <w:lang w:eastAsia="he-IL"/>
        </w:rPr>
        <w:t xml:space="preserve"> וההיפך הוא הנכון</w:t>
      </w:r>
      <w:r w:rsidRPr="002F0238">
        <w:rPr>
          <w:rFonts w:ascii="David" w:hAnsi="David"/>
          <w:noProof w:val="0"/>
          <w:rtl/>
          <w:lang w:eastAsia="he-IL"/>
        </w:rPr>
        <w:t>.</w:t>
      </w:r>
    </w:p>
    <w:p w:rsidR="002F0238" w:rsidRPr="00FD2328" w:rsidRDefault="002F0238" w:rsidP="002F0238">
      <w:pPr>
        <w:pStyle w:val="ad"/>
        <w:rPr>
          <w:rFonts w:ascii="David" w:hAnsi="David"/>
          <w:sz w:val="16"/>
          <w:szCs w:val="16"/>
          <w:rtl/>
        </w:rPr>
      </w:pPr>
    </w:p>
    <w:p w:rsidR="002F0238" w:rsidRDefault="002F0238" w:rsidP="00C80B08">
      <w:pPr>
        <w:pStyle w:val="ad"/>
        <w:numPr>
          <w:ilvl w:val="0"/>
          <w:numId w:val="1"/>
        </w:numPr>
        <w:spacing w:line="360" w:lineRule="auto"/>
        <w:ind w:left="567" w:hanging="567"/>
        <w:jc w:val="both"/>
        <w:rPr>
          <w:rFonts w:ascii="David" w:hAnsi="David"/>
        </w:rPr>
      </w:pPr>
      <w:r w:rsidRPr="002F0238">
        <w:rPr>
          <w:rFonts w:ascii="David" w:hAnsi="David"/>
          <w:noProof w:val="0"/>
          <w:rtl/>
          <w:lang w:eastAsia="he-IL"/>
        </w:rPr>
        <w:t xml:space="preserve">בבע"מ  </w:t>
      </w:r>
      <w:r w:rsidRPr="002F0238">
        <w:rPr>
          <w:rFonts w:ascii="David" w:hAnsi="David"/>
          <w:noProof w:val="0"/>
          <w:rtl/>
        </w:rPr>
        <w:t xml:space="preserve">9881/05 </w:t>
      </w:r>
      <w:r w:rsidRPr="002F0238">
        <w:rPr>
          <w:rFonts w:ascii="David" w:hAnsi="David"/>
          <w:b/>
          <w:bCs/>
          <w:noProof w:val="0"/>
          <w:rtl/>
        </w:rPr>
        <w:t xml:space="preserve">פלוני נ' פלונית </w:t>
      </w:r>
      <w:r w:rsidRPr="002F0238">
        <w:rPr>
          <w:rFonts w:ascii="David" w:hAnsi="David"/>
          <w:noProof w:val="0"/>
          <w:rtl/>
        </w:rPr>
        <w:t>(נבו, 9.4.06), קבע כב' השופט רובינשטיין כי יש לבחון האם אחד מבני הזוג "</w:t>
      </w:r>
      <w:r w:rsidRPr="002F0238">
        <w:rPr>
          <w:rFonts w:ascii="David" w:hAnsi="David"/>
          <w:b/>
          <w:bCs/>
          <w:noProof w:val="0"/>
          <w:rtl/>
        </w:rPr>
        <w:t xml:space="preserve">מאריך מטעמיו שלו את תקופת השיתוף... בעוד בן הזוג האחר מבקש פירוק השיתוף. במצב זה, בו אחד השותפים מסכל את ביצוע הפירוק, אין הוא יכול להישמע בטענת דמי שימוש ראויים" </w:t>
      </w:r>
      <w:r w:rsidRPr="002F0238">
        <w:rPr>
          <w:rFonts w:ascii="David" w:hAnsi="David"/>
          <w:noProof w:val="0"/>
          <w:rtl/>
        </w:rPr>
        <w:t>(שם, פסקה ט' לפסק הדין).</w:t>
      </w:r>
      <w:r w:rsidR="00653B51">
        <w:rPr>
          <w:rFonts w:ascii="David" w:hAnsi="David" w:hint="cs"/>
          <w:noProof w:val="0"/>
          <w:rtl/>
        </w:rPr>
        <w:t xml:space="preserve"> </w:t>
      </w:r>
      <w:r w:rsidR="00653B51">
        <w:rPr>
          <w:rFonts w:ascii="David" w:hAnsi="David" w:hint="cs"/>
          <w:rtl/>
        </w:rPr>
        <w:t xml:space="preserve">במקרה דנן, פנה התובע פעמיים בתביעות לביטול הסכם הגירושין. פעם אחת טרם המועד הרלוונטי, ופעם נוספת ביום 4.2.2020, תביעה שנמחקה ביום 11.6.2020, ולכן כפי שאראה להלן, לא אזכה אותו בדמי שימוש ראויים בעבור תקופה זו של כארבעה חודשים. </w:t>
      </w:r>
    </w:p>
    <w:p w:rsidR="00D956F6" w:rsidRPr="0060084B" w:rsidRDefault="00D956F6" w:rsidP="009F4853">
      <w:pPr>
        <w:pStyle w:val="ad"/>
        <w:rPr>
          <w:rFonts w:ascii="David" w:hAnsi="David"/>
          <w:sz w:val="16"/>
          <w:szCs w:val="16"/>
          <w:rtl/>
        </w:rPr>
      </w:pPr>
    </w:p>
    <w:p w:rsidR="009F4853" w:rsidRPr="009F4853" w:rsidRDefault="009F4853" w:rsidP="00F83AA5">
      <w:pPr>
        <w:pStyle w:val="ad"/>
        <w:numPr>
          <w:ilvl w:val="0"/>
          <w:numId w:val="1"/>
        </w:numPr>
        <w:spacing w:line="360" w:lineRule="auto"/>
        <w:jc w:val="both"/>
        <w:rPr>
          <w:rFonts w:ascii="David" w:hAnsi="David"/>
        </w:rPr>
      </w:pPr>
      <w:r w:rsidRPr="00F83AA5">
        <w:rPr>
          <w:rFonts w:ascii="Arial" w:hAnsi="Arial"/>
          <w:noProof w:val="0"/>
          <w:rtl/>
        </w:rPr>
        <w:t>בע"א 588/87</w:t>
      </w:r>
      <w:r w:rsidRPr="00EC030A">
        <w:rPr>
          <w:rFonts w:ascii="Arial" w:hAnsi="Arial"/>
          <w:noProof w:val="0"/>
          <w:color w:val="FF0000"/>
          <w:rtl/>
        </w:rPr>
        <w:t xml:space="preserve"> </w:t>
      </w:r>
      <w:r w:rsidR="00F83AA5" w:rsidRPr="00F83AA5">
        <w:rPr>
          <w:rFonts w:ascii="Arial" w:hAnsi="Arial"/>
          <w:b/>
          <w:bCs/>
          <w:noProof w:val="0"/>
          <w:rtl/>
        </w:rPr>
        <w:t>אליעזר כהן נ' צבי שמש</w:t>
      </w:r>
      <w:r w:rsidR="00F83AA5" w:rsidRPr="009F4747">
        <w:rPr>
          <w:rFonts w:ascii="Arial" w:hAnsi="Arial"/>
          <w:noProof w:val="0"/>
          <w:rtl/>
        </w:rPr>
        <w:t>, מה(5) 297 (1991)</w:t>
      </w:r>
      <w:r w:rsidR="00F83AA5" w:rsidRPr="00F83AA5">
        <w:rPr>
          <w:rFonts w:ascii="Arial" w:hAnsi="Arial"/>
          <w:noProof w:val="0"/>
          <w:color w:val="FF0000"/>
          <w:rtl/>
        </w:rPr>
        <w:t xml:space="preserve">‏‏ </w:t>
      </w:r>
      <w:r w:rsidRPr="009F4853">
        <w:rPr>
          <w:rFonts w:ascii="Arial" w:hAnsi="Arial"/>
          <w:noProof w:val="0"/>
          <w:rtl/>
        </w:rPr>
        <w:t>קבע בית המשפט העליון, בהסתמכו גם על המשפט העברי, כי: "</w:t>
      </w:r>
      <w:r w:rsidRPr="009F4853">
        <w:rPr>
          <w:rFonts w:ascii="Arial" w:hAnsi="Arial"/>
          <w:b/>
          <w:bCs/>
          <w:noProof w:val="0"/>
          <w:rtl/>
        </w:rPr>
        <w:t xml:space="preserve">היחידה מבין הנסיבות בהן מוסמך בית המשפט לפטור מחובת ההשבה... "שהזכיה לא היתה כרוכה בחסרון המזכה". גם אם נכונה ההנחה.... שבנקודה זו אימץ המחוקק את עקרון המשפט העברי, בדבר "זה נהנה וזה לא חסר", יש, מכל מקום, לשים לב לשלוש הבחנות נחוצות: ראשית, יש לזכור, כי המשפט העברי איננו מורה, כהלכה כללית, ש"זה נהנה וזה לא חסר - פטור". בתלמוד הבבלי התלבנה השאלה ביחס לסוגיה מצומצמת אחת: "הדר בחצר חבירו שלא מדעתו, צריך להעלות לו שכר או אין צריך?"... ההלכה שנתגבשה קבעה "פטור", אך תחולתה של זו הוגבלה רק "חצר שאינה עומדת </w:t>
      </w:r>
      <w:r w:rsidRPr="009F4853">
        <w:rPr>
          <w:rFonts w:ascii="Arial" w:hAnsi="Arial"/>
          <w:b/>
          <w:bCs/>
          <w:noProof w:val="0"/>
          <w:rtl/>
        </w:rPr>
        <w:lastRenderedPageBreak/>
        <w:t xml:space="preserve">להשכרה"... הרמב"ם... מסכם הלכה זו כך: "הדר בחצר חבירו שלא מדעתו, אם אותה חצר אינה עשויה לשכר אינו צריך להעלות לו שכר, אע"פ שדרך הדר לשכור מקום לעצמו, שזה נהנה וזה אינו חסר". יש איפוא להיזהר מפני נקיטת אמת מידה גורפת של פטור מחובת השבה, כל אימת שהתעשרותו הבלתי מוצדקת של הזוכה איננה כרוכה בחסרונו של המזכה. כן יש להישמר מפני נטייה לקצוב את שיעור ההשבה על-פי מידת נזקו של המזכה, רק מפני שמתברר כי התעשרותו של הזוכה, אף שהייתה "על-חשבונו", הסבה לו רק נזק... גישה שכזאת עומדת בסתירה למבחנה העיקרי של עילת ההשבה: </w:t>
      </w:r>
      <w:r w:rsidRPr="009F4853">
        <w:rPr>
          <w:rFonts w:ascii="Arial" w:hAnsi="Arial"/>
          <w:b/>
          <w:bCs/>
          <w:noProof w:val="0"/>
          <w:u w:val="double"/>
          <w:rtl/>
        </w:rPr>
        <w:t>לא עצם נזקו של התובע ולא שיעור נזק זה הם המגבשים את עילת ההשבה, אלא התעשרותו הבלתי מוצדקת של הנתבע</w:t>
      </w:r>
      <w:r w:rsidRPr="009F4853">
        <w:rPr>
          <w:rFonts w:ascii="Arial" w:hAnsi="Arial"/>
          <w:b/>
          <w:bCs/>
          <w:noProof w:val="0"/>
          <w:rtl/>
        </w:rPr>
        <w:t xml:space="preserve">. שנית, יש לשים לב, כי לפי תפיסת המשפט העברי משמעות הפטור איננו בבחינת מחילת חובה קיימת, אלא באי-היווצרותה של חובת השבה מעיקרה. לפחות בנקודה זו נוקט סעיף 2, בבירור, גישה אחרת. </w:t>
      </w:r>
    </w:p>
    <w:p w:rsidR="009F4853" w:rsidRPr="00D956F6" w:rsidRDefault="009F4853" w:rsidP="009F4853">
      <w:pPr>
        <w:pStyle w:val="ad"/>
        <w:spacing w:line="360" w:lineRule="auto"/>
        <w:ind w:left="567"/>
        <w:jc w:val="both"/>
        <w:rPr>
          <w:rFonts w:ascii="Arial" w:hAnsi="Arial"/>
          <w:b/>
          <w:bCs/>
          <w:noProof w:val="0"/>
          <w:sz w:val="16"/>
          <w:szCs w:val="16"/>
        </w:rPr>
      </w:pPr>
    </w:p>
    <w:p w:rsidR="009F4853" w:rsidRDefault="009F4853" w:rsidP="00C80B08">
      <w:pPr>
        <w:pStyle w:val="ad"/>
        <w:spacing w:line="360" w:lineRule="auto"/>
        <w:ind w:left="708"/>
        <w:jc w:val="both"/>
        <w:rPr>
          <w:rFonts w:ascii="Arial" w:hAnsi="Arial"/>
          <w:noProof w:val="0"/>
          <w:rtl/>
        </w:rPr>
      </w:pPr>
      <w:r>
        <w:rPr>
          <w:rFonts w:ascii="Arial" w:hAnsi="Arial"/>
          <w:b/>
          <w:bCs/>
          <w:noProof w:val="0"/>
          <w:rtl/>
        </w:rPr>
        <w:t>ושלישית, הכרוכה בקודמתה, היא, כי לא די לו לנתבע, המבקש לסמוך את הגנתו על נסיבה זו, שיוכיח, כי זכייתו לא הייתה כרוכה בחסרונו של המזכה, אלא מוטל עליו להוכיח, בנוסף לכך, כי לפי עקרונות של צדק ויושר יהיה זה בלתי צודק לחייבו בהשבה, או בחלקה... זאת ועוד: להלכת "זה נהנה וזה לא חסר" קבע המשפט העברי סייגים. אחד מאלה, שהוא בעל חשיבות לענייננו, קובע, כי הזוכה לא יהיה פטור אם מחה המזכה בפניו: "</w:t>
      </w:r>
      <w:r w:rsidRPr="009F4853">
        <w:rPr>
          <w:rFonts w:ascii="Arial" w:hAnsi="Arial"/>
          <w:b/>
          <w:bCs/>
          <w:noProof w:val="0"/>
          <w:u w:val="double"/>
          <w:rtl/>
        </w:rPr>
        <w:t>שהדר בחצר חבירו שלא מדעתו, שאמר לו 'צא' ולא יצא - חייב ליתן לו כל שכרו</w:t>
      </w:r>
      <w:r>
        <w:rPr>
          <w:rFonts w:ascii="Arial" w:hAnsi="Arial"/>
          <w:b/>
          <w:bCs/>
          <w:noProof w:val="0"/>
          <w:rtl/>
        </w:rPr>
        <w:t>..."</w:t>
      </w:r>
      <w:r>
        <w:rPr>
          <w:rFonts w:ascii="Arial" w:hAnsi="Arial"/>
          <w:noProof w:val="0"/>
          <w:rtl/>
        </w:rPr>
        <w:t xml:space="preserve"> (עמ' 328-329; הדגש</w:t>
      </w:r>
      <w:r>
        <w:rPr>
          <w:rFonts w:ascii="Arial" w:hAnsi="Arial" w:hint="cs"/>
          <w:noProof w:val="0"/>
          <w:rtl/>
        </w:rPr>
        <w:t>ות</w:t>
      </w:r>
      <w:r>
        <w:rPr>
          <w:rFonts w:ascii="Arial" w:hAnsi="Arial"/>
          <w:noProof w:val="0"/>
          <w:rtl/>
        </w:rPr>
        <w:t xml:space="preserve"> לא במקור). </w:t>
      </w:r>
    </w:p>
    <w:p w:rsidR="00653B51" w:rsidRPr="00D956F6" w:rsidRDefault="00653B51" w:rsidP="00653B51">
      <w:pPr>
        <w:pStyle w:val="ad"/>
        <w:rPr>
          <w:rFonts w:ascii="David" w:hAnsi="David"/>
          <w:sz w:val="16"/>
          <w:szCs w:val="16"/>
          <w:rtl/>
        </w:rPr>
      </w:pPr>
    </w:p>
    <w:p w:rsidR="002F0238" w:rsidRDefault="002F0238" w:rsidP="00653B51">
      <w:pPr>
        <w:pStyle w:val="ad"/>
        <w:numPr>
          <w:ilvl w:val="0"/>
          <w:numId w:val="1"/>
        </w:numPr>
        <w:spacing w:line="360" w:lineRule="auto"/>
        <w:ind w:left="567" w:hanging="567"/>
        <w:jc w:val="both"/>
        <w:rPr>
          <w:rFonts w:ascii="David" w:hAnsi="David"/>
        </w:rPr>
      </w:pPr>
      <w:r w:rsidRPr="00653B51">
        <w:rPr>
          <w:rFonts w:ascii="David" w:hAnsi="David"/>
          <w:noProof w:val="0"/>
          <w:rtl/>
        </w:rPr>
        <w:t xml:space="preserve">באשר לזכות הקונקרטית; בעמ"ש </w:t>
      </w:r>
      <w:r w:rsidRPr="00653B51">
        <w:rPr>
          <w:rFonts w:ascii="David" w:hAnsi="David"/>
          <w:noProof w:val="0"/>
          <w:rtl/>
          <w:lang w:eastAsia="he-IL"/>
        </w:rPr>
        <w:t xml:space="preserve">7396-12-09 </w:t>
      </w:r>
      <w:r w:rsidRPr="00653B51">
        <w:rPr>
          <w:rFonts w:ascii="David" w:hAnsi="David"/>
          <w:b/>
          <w:bCs/>
          <w:noProof w:val="0"/>
          <w:rtl/>
          <w:lang w:eastAsia="he-IL"/>
        </w:rPr>
        <w:t>פלונית נ' אלמוני</w:t>
      </w:r>
      <w:r w:rsidR="00673D34">
        <w:rPr>
          <w:rFonts w:ascii="David" w:hAnsi="David"/>
          <w:noProof w:val="0"/>
          <w:rtl/>
          <w:lang w:eastAsia="he-IL"/>
        </w:rPr>
        <w:t xml:space="preserve"> (</w:t>
      </w:r>
      <w:r w:rsidRPr="00653B51">
        <w:rPr>
          <w:rFonts w:ascii="David" w:hAnsi="David"/>
          <w:noProof w:val="0"/>
          <w:rtl/>
          <w:lang w:eastAsia="he-IL"/>
        </w:rPr>
        <w:t>נבו, 21.4.13) סקר כבוד השופט י' שנלר את הפסיקה וסיכמה לענייננו:</w:t>
      </w:r>
    </w:p>
    <w:p w:rsidR="002F0238" w:rsidRPr="009F4853" w:rsidRDefault="002F0238" w:rsidP="002F0238">
      <w:pPr>
        <w:pStyle w:val="ad"/>
        <w:spacing w:line="360" w:lineRule="auto"/>
        <w:ind w:left="567"/>
        <w:jc w:val="both"/>
        <w:rPr>
          <w:rFonts w:ascii="David" w:hAnsi="David"/>
          <w:noProof w:val="0"/>
          <w:sz w:val="16"/>
          <w:szCs w:val="16"/>
          <w:lang w:eastAsia="he-IL"/>
        </w:rPr>
      </w:pPr>
    </w:p>
    <w:p w:rsidR="002F0238" w:rsidRDefault="002F0238" w:rsidP="002F0238">
      <w:pPr>
        <w:pStyle w:val="ad"/>
        <w:numPr>
          <w:ilvl w:val="1"/>
          <w:numId w:val="9"/>
        </w:numPr>
        <w:spacing w:line="360" w:lineRule="auto"/>
        <w:ind w:left="1275" w:hanging="586"/>
        <w:jc w:val="both"/>
        <w:rPr>
          <w:rFonts w:ascii="David" w:hAnsi="David"/>
          <w:noProof w:val="0"/>
          <w:rtl/>
          <w:lang w:eastAsia="he-IL"/>
        </w:rPr>
      </w:pPr>
      <w:r>
        <w:rPr>
          <w:rFonts w:ascii="David" w:hAnsi="David"/>
          <w:noProof w:val="0"/>
          <w:rtl/>
        </w:rPr>
        <w:t xml:space="preserve">בתי משפט המחוזיים וכן בתי המשפט לענייני משפחה, הכירו משך השנים באפשרות של חיוב בתשלום דמי שימוש ראויים, בין בני זוג, הגם תוך התחשבות השפעת היותם בני זוג הן על עצם החיוב והן על שיעורו. </w:t>
      </w:r>
    </w:p>
    <w:p w:rsidR="002F0238" w:rsidRDefault="002F0238" w:rsidP="002F0238">
      <w:pPr>
        <w:pStyle w:val="ad"/>
        <w:numPr>
          <w:ilvl w:val="1"/>
          <w:numId w:val="9"/>
        </w:numPr>
        <w:spacing w:line="360" w:lineRule="auto"/>
        <w:ind w:left="1275" w:hanging="586"/>
        <w:jc w:val="both"/>
        <w:rPr>
          <w:rFonts w:ascii="David" w:hAnsi="David"/>
          <w:noProof w:val="0"/>
          <w:lang w:eastAsia="he-IL"/>
        </w:rPr>
      </w:pPr>
      <w:r>
        <w:rPr>
          <w:rFonts w:ascii="David" w:hAnsi="David"/>
          <w:noProof w:val="0"/>
          <w:rtl/>
        </w:rPr>
        <w:t xml:space="preserve">לכאורה, מצד אחד קיימת התעשרות של בן הזוג הנותר בדירה ומצד שני, לכאורה, אין מקום להפוך את בן הזוג הנשאר לשוכר בעל כורחו. </w:t>
      </w:r>
    </w:p>
    <w:p w:rsidR="002F0238" w:rsidRDefault="002F0238" w:rsidP="002F0238">
      <w:pPr>
        <w:pStyle w:val="ad"/>
        <w:numPr>
          <w:ilvl w:val="1"/>
          <w:numId w:val="9"/>
        </w:numPr>
        <w:spacing w:line="360" w:lineRule="auto"/>
        <w:ind w:left="1275" w:hanging="586"/>
        <w:jc w:val="both"/>
        <w:rPr>
          <w:rFonts w:ascii="David" w:hAnsi="David"/>
          <w:noProof w:val="0"/>
        </w:rPr>
      </w:pPr>
      <w:r>
        <w:rPr>
          <w:rFonts w:ascii="David" w:hAnsi="David"/>
          <w:noProof w:val="0"/>
          <w:rtl/>
        </w:rPr>
        <w:t xml:space="preserve">לאור חקיקת חוקי היסוד, יש לבחון את הנסיבות הן בהיבט של העילה הקניינית והן בהיבט של עילת עשיית עושר ולא במשפט. </w:t>
      </w:r>
    </w:p>
    <w:p w:rsidR="002F0238" w:rsidRDefault="002F0238" w:rsidP="002F0238">
      <w:pPr>
        <w:pStyle w:val="ad"/>
        <w:numPr>
          <w:ilvl w:val="1"/>
          <w:numId w:val="9"/>
        </w:numPr>
        <w:spacing w:line="360" w:lineRule="auto"/>
        <w:ind w:left="1275" w:hanging="586"/>
        <w:jc w:val="both"/>
        <w:rPr>
          <w:rFonts w:ascii="David" w:hAnsi="David"/>
          <w:noProof w:val="0"/>
        </w:rPr>
      </w:pPr>
      <w:r>
        <w:rPr>
          <w:rFonts w:ascii="David" w:hAnsi="David"/>
          <w:noProof w:val="0"/>
          <w:rtl/>
        </w:rPr>
        <w:t>אין מקום לקבוע מסמרות וכי יש לבחון כל מקרה לנסיבותיו, לא כל שכן, לנוכח הוראת סעיף 2 לחוק עשיית עושר ולא במשפט, תשל"ט-1979 לפיה בית המשפט רשאי לפטור מחובת השבה אם ראה "</w:t>
      </w:r>
      <w:r>
        <w:rPr>
          <w:rFonts w:ascii="David" w:hAnsi="David"/>
          <w:b/>
          <w:bCs/>
          <w:noProof w:val="0"/>
          <w:rtl/>
        </w:rPr>
        <w:t>...נסיבות אחרות העושות את ההשבה בלתי צודקת".</w:t>
      </w:r>
    </w:p>
    <w:p w:rsidR="002F0238" w:rsidRDefault="002F0238" w:rsidP="002F0238">
      <w:pPr>
        <w:pStyle w:val="ad"/>
        <w:numPr>
          <w:ilvl w:val="1"/>
          <w:numId w:val="9"/>
        </w:numPr>
        <w:spacing w:line="360" w:lineRule="auto"/>
        <w:ind w:left="1275" w:hanging="586"/>
        <w:jc w:val="both"/>
        <w:rPr>
          <w:rFonts w:ascii="David" w:hAnsi="David"/>
          <w:noProof w:val="0"/>
        </w:rPr>
      </w:pPr>
      <w:r>
        <w:rPr>
          <w:rFonts w:ascii="David" w:hAnsi="David"/>
          <w:noProof w:val="0"/>
          <w:rtl/>
        </w:rPr>
        <w:t xml:space="preserve">גם התנהלות שיש בה משום חוסר תום לב, תהיה לה השפעה על קביעת החבות או הפטור. </w:t>
      </w:r>
    </w:p>
    <w:p w:rsidR="002F0238" w:rsidRDefault="002F0238" w:rsidP="002F0238">
      <w:pPr>
        <w:pStyle w:val="ad"/>
        <w:numPr>
          <w:ilvl w:val="1"/>
          <w:numId w:val="9"/>
        </w:numPr>
        <w:spacing w:line="360" w:lineRule="auto"/>
        <w:ind w:left="1275" w:hanging="586"/>
        <w:jc w:val="both"/>
        <w:rPr>
          <w:rFonts w:ascii="David" w:hAnsi="David"/>
          <w:noProof w:val="0"/>
        </w:rPr>
      </w:pPr>
      <w:r>
        <w:rPr>
          <w:rFonts w:ascii="David" w:hAnsi="David"/>
          <w:noProof w:val="0"/>
          <w:rtl/>
        </w:rPr>
        <w:t xml:space="preserve">באשר למועד בו מסתיימת החבות, בדרך כלל המועד הקובע יהיה מועד פינוי הדירה בפועל.    </w:t>
      </w:r>
    </w:p>
    <w:p w:rsidR="002F0238" w:rsidRPr="00D956F6" w:rsidRDefault="002F0238" w:rsidP="002F0238">
      <w:pPr>
        <w:pStyle w:val="ad"/>
        <w:spacing w:line="360" w:lineRule="auto"/>
        <w:ind w:left="1275"/>
        <w:jc w:val="both"/>
        <w:rPr>
          <w:rFonts w:ascii="David" w:hAnsi="David"/>
          <w:noProof w:val="0"/>
          <w:sz w:val="16"/>
          <w:szCs w:val="16"/>
        </w:rPr>
      </w:pPr>
    </w:p>
    <w:p w:rsidR="002F0238" w:rsidRDefault="002F0238" w:rsidP="00D13608">
      <w:pPr>
        <w:pStyle w:val="ad"/>
        <w:numPr>
          <w:ilvl w:val="0"/>
          <w:numId w:val="1"/>
        </w:numPr>
        <w:spacing w:line="360" w:lineRule="auto"/>
        <w:ind w:left="567" w:hanging="567"/>
        <w:jc w:val="both"/>
        <w:rPr>
          <w:rFonts w:ascii="David" w:hAnsi="David"/>
        </w:rPr>
      </w:pPr>
      <w:r w:rsidRPr="0051449C">
        <w:rPr>
          <w:rFonts w:ascii="David" w:hAnsi="David"/>
          <w:noProof w:val="0"/>
          <w:rtl/>
        </w:rPr>
        <w:lastRenderedPageBreak/>
        <w:t xml:space="preserve">במקרה דנן, </w:t>
      </w:r>
      <w:r w:rsidR="0051449C">
        <w:rPr>
          <w:rFonts w:ascii="David" w:hAnsi="David" w:hint="cs"/>
          <w:noProof w:val="0"/>
          <w:rtl/>
        </w:rPr>
        <w:t xml:space="preserve">הפוך והפוך בטענות הצדדים, ועל עובדה אחת אין חולק: </w:t>
      </w:r>
      <w:r w:rsidRPr="0051449C">
        <w:rPr>
          <w:rFonts w:ascii="David" w:hAnsi="David"/>
          <w:noProof w:val="0"/>
          <w:rtl/>
        </w:rPr>
        <w:t xml:space="preserve">בכל </w:t>
      </w:r>
      <w:r w:rsidR="0051449C">
        <w:rPr>
          <w:rFonts w:ascii="David" w:hAnsi="David" w:hint="cs"/>
          <w:noProof w:val="0"/>
          <w:rtl/>
        </w:rPr>
        <w:t>ה</w:t>
      </w:r>
      <w:r w:rsidRPr="0051449C">
        <w:rPr>
          <w:rFonts w:ascii="David" w:hAnsi="David"/>
          <w:noProof w:val="0"/>
          <w:rtl/>
        </w:rPr>
        <w:t xml:space="preserve">תקופה </w:t>
      </w:r>
      <w:r w:rsidR="0051449C">
        <w:rPr>
          <w:rFonts w:ascii="David" w:hAnsi="David" w:hint="cs"/>
          <w:noProof w:val="0"/>
          <w:rtl/>
        </w:rPr>
        <w:t>ה</w:t>
      </w:r>
      <w:r w:rsidRPr="0051449C">
        <w:rPr>
          <w:rFonts w:ascii="David" w:hAnsi="David"/>
          <w:noProof w:val="0"/>
          <w:rtl/>
        </w:rPr>
        <w:t>רלוונטית</w:t>
      </w:r>
      <w:r w:rsidR="0051449C">
        <w:rPr>
          <w:rFonts w:ascii="David" w:hAnsi="David" w:hint="cs"/>
          <w:noProof w:val="0"/>
          <w:rtl/>
        </w:rPr>
        <w:t xml:space="preserve"> לתביעה</w:t>
      </w:r>
      <w:r w:rsidRPr="0051449C">
        <w:rPr>
          <w:rFonts w:ascii="David" w:hAnsi="David"/>
          <w:noProof w:val="0"/>
          <w:rtl/>
        </w:rPr>
        <w:t xml:space="preserve"> התגוררה האשה בדירה המשותפת</w:t>
      </w:r>
      <w:r w:rsidR="0051449C">
        <w:rPr>
          <w:rFonts w:ascii="David" w:hAnsi="David" w:hint="cs"/>
          <w:noProof w:val="0"/>
          <w:rtl/>
        </w:rPr>
        <w:t>,</w:t>
      </w:r>
      <w:r w:rsidRPr="0051449C">
        <w:rPr>
          <w:rFonts w:ascii="David" w:hAnsi="David"/>
          <w:noProof w:val="0"/>
          <w:rtl/>
        </w:rPr>
        <w:t xml:space="preserve"> נהנתה גם מחלקו של האיש בדירה, תוך שנחסך ממנה תשלום דמי שכירות של דירה </w:t>
      </w:r>
      <w:r w:rsidR="00D13608">
        <w:rPr>
          <w:rFonts w:ascii="David" w:hAnsi="David" w:hint="cs"/>
          <w:noProof w:val="0"/>
          <w:rtl/>
        </w:rPr>
        <w:t>אחרת</w:t>
      </w:r>
      <w:r w:rsidRPr="0051449C">
        <w:rPr>
          <w:rFonts w:ascii="David" w:hAnsi="David"/>
          <w:noProof w:val="0"/>
          <w:rtl/>
        </w:rPr>
        <w:t xml:space="preserve">. עוד אין חולק כי, תיאורטית ואף מעשית, ככל שהאשה לא הייתה מתגוררת בדירה </w:t>
      </w:r>
      <w:r w:rsidR="0038440E">
        <w:rPr>
          <w:rFonts w:ascii="David" w:hAnsi="David" w:hint="cs"/>
          <w:noProof w:val="0"/>
          <w:rtl/>
        </w:rPr>
        <w:t>בתקופה הרלוונטית</w:t>
      </w:r>
      <w:r w:rsidRPr="0051449C">
        <w:rPr>
          <w:rFonts w:ascii="David" w:hAnsi="David"/>
          <w:noProof w:val="0"/>
          <w:rtl/>
        </w:rPr>
        <w:t>, הדירה יכולה הייתה להיות מושכרת לצד שלישי ועל ידי כך, יכול היה האיש לקבל לידיו את חלקו בדמי השכירות. המשך מגוריה של האשה בדירה</w:t>
      </w:r>
      <w:r w:rsidR="0051449C">
        <w:rPr>
          <w:rFonts w:ascii="David" w:hAnsi="David" w:hint="cs"/>
          <w:noProof w:val="0"/>
          <w:rtl/>
        </w:rPr>
        <w:t>, תהא הסיבה לכך אשר תהא,</w:t>
      </w:r>
      <w:r w:rsidRPr="0051449C">
        <w:rPr>
          <w:rFonts w:ascii="David" w:hAnsi="David"/>
          <w:noProof w:val="0"/>
          <w:rtl/>
        </w:rPr>
        <w:t xml:space="preserve"> העשיר אותה וחסך ממנה תשלומים שהייתה נושאת בהם אלמלא נותרה להתגורר בדירה, וזו – הלכה למעשה – עשיית עושר ולא במשפט.</w:t>
      </w:r>
    </w:p>
    <w:p w:rsidR="0051449C" w:rsidRPr="00D956F6" w:rsidRDefault="0051449C" w:rsidP="0051449C">
      <w:pPr>
        <w:pStyle w:val="ad"/>
        <w:spacing w:line="360" w:lineRule="auto"/>
        <w:ind w:left="567"/>
        <w:jc w:val="both"/>
        <w:rPr>
          <w:rFonts w:ascii="David" w:hAnsi="David"/>
          <w:sz w:val="16"/>
          <w:szCs w:val="16"/>
        </w:rPr>
      </w:pPr>
    </w:p>
    <w:p w:rsidR="002F0238" w:rsidRDefault="002F0238" w:rsidP="00F212FC">
      <w:pPr>
        <w:pStyle w:val="ad"/>
        <w:numPr>
          <w:ilvl w:val="0"/>
          <w:numId w:val="1"/>
        </w:numPr>
        <w:spacing w:line="360" w:lineRule="auto"/>
        <w:ind w:left="567" w:hanging="567"/>
        <w:jc w:val="both"/>
        <w:rPr>
          <w:rFonts w:ascii="David" w:hAnsi="David"/>
        </w:rPr>
      </w:pPr>
      <w:r w:rsidRPr="0051449C">
        <w:rPr>
          <w:rFonts w:ascii="David" w:hAnsi="David"/>
          <w:noProof w:val="0"/>
          <w:rtl/>
        </w:rPr>
        <w:t xml:space="preserve">לאחר ששקלתי בדבר ולנוכח ששת העיקרים שהובאו בסעיף </w:t>
      </w:r>
      <w:r w:rsidR="00EC030A">
        <w:rPr>
          <w:rFonts w:ascii="David" w:hAnsi="David" w:hint="cs"/>
          <w:noProof w:val="0"/>
          <w:rtl/>
        </w:rPr>
        <w:t>2</w:t>
      </w:r>
      <w:r w:rsidR="0060084B">
        <w:rPr>
          <w:rFonts w:ascii="David" w:hAnsi="David" w:hint="cs"/>
          <w:noProof w:val="0"/>
          <w:rtl/>
        </w:rPr>
        <w:t>0</w:t>
      </w:r>
      <w:r w:rsidRPr="0051449C">
        <w:rPr>
          <w:rFonts w:ascii="David" w:hAnsi="David"/>
          <w:noProof w:val="0"/>
          <w:rtl/>
        </w:rPr>
        <w:t xml:space="preserve"> לעיל, מצאתי כי נכון וצודק יהיה לחייב את האשה ב</w:t>
      </w:r>
      <w:r w:rsidR="0060084B">
        <w:rPr>
          <w:rFonts w:ascii="David" w:hAnsi="David" w:hint="cs"/>
          <w:noProof w:val="0"/>
          <w:rtl/>
        </w:rPr>
        <w:t>- 75</w:t>
      </w:r>
      <w:r w:rsidR="00F212FC">
        <w:rPr>
          <w:rFonts w:ascii="David" w:hAnsi="David" w:hint="cs"/>
          <w:noProof w:val="0"/>
          <w:rtl/>
        </w:rPr>
        <w:t>% מ</w:t>
      </w:r>
      <w:r w:rsidRPr="0051449C">
        <w:rPr>
          <w:rFonts w:ascii="David" w:hAnsi="David"/>
          <w:noProof w:val="0"/>
          <w:rtl/>
        </w:rPr>
        <w:t xml:space="preserve">דמי השימוש להם היה זכאי האיש 'ברגיל' וזאת בעיקר משום </w:t>
      </w:r>
      <w:r w:rsidR="00AE4A1A">
        <w:rPr>
          <w:rFonts w:ascii="David" w:hAnsi="David" w:hint="cs"/>
          <w:noProof w:val="0"/>
          <w:rtl/>
        </w:rPr>
        <w:t>שלכל משכיר יש הוצאות כאלה ואחרות לתחזוקת הנכס, לא כל שכן כאשר הנכס "מושכר" לתקופה ממושכת מאד, מה גם שניסיון החיים מלמד כי לא תמיד יש בנמצא שוכר לכל התקופה ואין זה חריג כי לפרקי זמן כאלה ואחרים, נכס יוותר ללא שוכר</w:t>
      </w:r>
      <w:r w:rsidR="00F212FC">
        <w:rPr>
          <w:rFonts w:ascii="David" w:hAnsi="David" w:hint="cs"/>
          <w:noProof w:val="0"/>
          <w:rtl/>
        </w:rPr>
        <w:t xml:space="preserve"> וכל זאת חרף כי 'ההנאה' של האשה היא במלוא דמי השימוש</w:t>
      </w:r>
      <w:r w:rsidR="00AE4A1A">
        <w:rPr>
          <w:rFonts w:ascii="David" w:hAnsi="David" w:hint="cs"/>
          <w:noProof w:val="0"/>
          <w:rtl/>
        </w:rPr>
        <w:t xml:space="preserve">.  </w:t>
      </w:r>
    </w:p>
    <w:p w:rsidR="00214CF3" w:rsidRPr="00D956F6" w:rsidRDefault="00214CF3" w:rsidP="00214CF3">
      <w:pPr>
        <w:pStyle w:val="ad"/>
        <w:rPr>
          <w:rFonts w:ascii="David" w:hAnsi="David"/>
          <w:sz w:val="16"/>
          <w:szCs w:val="16"/>
          <w:rtl/>
        </w:rPr>
      </w:pPr>
    </w:p>
    <w:p w:rsidR="00214CF3" w:rsidRDefault="00214CF3" w:rsidP="008C1714">
      <w:pPr>
        <w:pStyle w:val="ad"/>
        <w:numPr>
          <w:ilvl w:val="0"/>
          <w:numId w:val="1"/>
        </w:numPr>
        <w:spacing w:line="360" w:lineRule="auto"/>
        <w:ind w:left="567" w:hanging="567"/>
        <w:jc w:val="both"/>
        <w:rPr>
          <w:rFonts w:ascii="David" w:hAnsi="David"/>
        </w:rPr>
      </w:pPr>
      <w:r>
        <w:rPr>
          <w:rFonts w:ascii="David" w:hAnsi="David" w:hint="cs"/>
          <w:rtl/>
        </w:rPr>
        <w:t xml:space="preserve">באשר לסכום שיש לפסוק; לכאורה האיש זכאי ל 305,642 ₪ בגין התקופה הנתבעת, ובהפחתה של </w:t>
      </w:r>
      <w:r w:rsidR="00453398">
        <w:rPr>
          <w:rFonts w:ascii="David" w:hAnsi="David" w:hint="cs"/>
          <w:rtl/>
        </w:rPr>
        <w:t>כ</w:t>
      </w:r>
      <w:r w:rsidR="008C1714">
        <w:rPr>
          <w:rFonts w:ascii="David" w:hAnsi="David" w:hint="cs"/>
          <w:rtl/>
        </w:rPr>
        <w:t xml:space="preserve">ארבעה </w:t>
      </w:r>
      <w:r>
        <w:rPr>
          <w:rFonts w:ascii="David" w:hAnsi="David" w:hint="cs"/>
          <w:rtl/>
        </w:rPr>
        <w:t>חודשים בהם תביעתו לביטול ההסכם הת</w:t>
      </w:r>
      <w:r w:rsidR="004A1B79">
        <w:rPr>
          <w:rFonts w:ascii="David" w:hAnsi="David" w:hint="cs"/>
          <w:rtl/>
        </w:rPr>
        <w:t xml:space="preserve">נהלה </w:t>
      </w:r>
      <w:r>
        <w:rPr>
          <w:rFonts w:ascii="David" w:hAnsi="David" w:hint="cs"/>
          <w:rtl/>
        </w:rPr>
        <w:t xml:space="preserve">(ר' סעיף </w:t>
      </w:r>
      <w:r w:rsidR="008C1714">
        <w:rPr>
          <w:rFonts w:ascii="David" w:hAnsi="David" w:hint="cs"/>
          <w:rtl/>
        </w:rPr>
        <w:t>18</w:t>
      </w:r>
      <w:r>
        <w:rPr>
          <w:rFonts w:ascii="David" w:hAnsi="David" w:hint="cs"/>
          <w:rtl/>
        </w:rPr>
        <w:t xml:space="preserve"> לעיל</w:t>
      </w:r>
      <w:r w:rsidR="004A1B79">
        <w:rPr>
          <w:rFonts w:ascii="David" w:hAnsi="David" w:hint="cs"/>
          <w:rtl/>
        </w:rPr>
        <w:t xml:space="preserve">; הפחתה בסך של כ </w:t>
      </w:r>
      <w:r w:rsidR="008C1714">
        <w:rPr>
          <w:rFonts w:ascii="David" w:hAnsi="David" w:hint="cs"/>
          <w:rtl/>
        </w:rPr>
        <w:t>13,160</w:t>
      </w:r>
      <w:r w:rsidR="004A1B79">
        <w:rPr>
          <w:rFonts w:ascii="David" w:hAnsi="David" w:hint="cs"/>
          <w:rtl/>
        </w:rPr>
        <w:t xml:space="preserve"> ₪) זכותו עומדת על כ </w:t>
      </w:r>
      <w:r w:rsidR="008C1714">
        <w:rPr>
          <w:rFonts w:ascii="David" w:hAnsi="David" w:hint="cs"/>
          <w:rtl/>
        </w:rPr>
        <w:t>292,482</w:t>
      </w:r>
      <w:r w:rsidR="004A1B79">
        <w:rPr>
          <w:rFonts w:ascii="David" w:hAnsi="David" w:hint="cs"/>
          <w:rtl/>
        </w:rPr>
        <w:t xml:space="preserve"> ₪. בשים לב לאמור בסעיף</w:t>
      </w:r>
      <w:r w:rsidR="004A1B79" w:rsidRPr="00F212FC">
        <w:rPr>
          <w:rFonts w:ascii="David" w:hAnsi="David" w:hint="cs"/>
          <w:color w:val="FF0000"/>
          <w:rtl/>
        </w:rPr>
        <w:t xml:space="preserve"> </w:t>
      </w:r>
      <w:r w:rsidR="00453398" w:rsidRPr="00453398">
        <w:rPr>
          <w:rFonts w:ascii="David" w:hAnsi="David" w:hint="cs"/>
          <w:rtl/>
        </w:rPr>
        <w:t>20</w:t>
      </w:r>
      <w:r w:rsidR="004A1B79">
        <w:rPr>
          <w:rFonts w:ascii="David" w:hAnsi="David" w:hint="cs"/>
          <w:rtl/>
        </w:rPr>
        <w:t xml:space="preserve"> לעיל, מצאתי לחייב את האשה לשלם לאיש סך של </w:t>
      </w:r>
      <w:r w:rsidR="008C1714">
        <w:rPr>
          <w:rFonts w:ascii="David" w:hAnsi="David" w:hint="cs"/>
          <w:rtl/>
        </w:rPr>
        <w:t>219,361</w:t>
      </w:r>
      <w:r w:rsidR="00AE4A1A">
        <w:rPr>
          <w:rFonts w:ascii="David" w:hAnsi="David" w:hint="cs"/>
          <w:rtl/>
        </w:rPr>
        <w:t xml:space="preserve"> </w:t>
      </w:r>
      <w:r w:rsidR="004A1B79">
        <w:rPr>
          <w:rFonts w:ascii="David" w:hAnsi="David" w:hint="cs"/>
          <w:rtl/>
        </w:rPr>
        <w:t>₪, סכום הנמוך מהסכום שנתבע, ואשר משקף את חלקו של האיש בדמי השכירות הראויים עד למועד הגשת התביעה.</w:t>
      </w:r>
    </w:p>
    <w:p w:rsidR="003454ED" w:rsidRPr="00EC030A" w:rsidRDefault="003454ED" w:rsidP="003454ED">
      <w:pPr>
        <w:pStyle w:val="ad"/>
        <w:rPr>
          <w:rFonts w:ascii="David" w:hAnsi="David"/>
          <w:sz w:val="16"/>
          <w:szCs w:val="16"/>
          <w:rtl/>
        </w:rPr>
      </w:pPr>
    </w:p>
    <w:p w:rsidR="00EC030A" w:rsidRDefault="003454ED" w:rsidP="00EC030A">
      <w:pPr>
        <w:rPr>
          <w:rFonts w:ascii="David" w:hAnsi="David"/>
          <w:b/>
          <w:bCs/>
          <w:rtl/>
        </w:rPr>
      </w:pPr>
      <w:r w:rsidRPr="003454ED">
        <w:rPr>
          <w:rFonts w:ascii="David" w:hAnsi="David" w:hint="cs"/>
          <w:b/>
          <w:bCs/>
          <w:rtl/>
        </w:rPr>
        <w:t xml:space="preserve">ג' </w:t>
      </w:r>
      <w:r w:rsidRPr="003454ED">
        <w:rPr>
          <w:rFonts w:ascii="David" w:hAnsi="David"/>
          <w:b/>
          <w:bCs/>
          <w:rtl/>
        </w:rPr>
        <w:t>–</w:t>
      </w:r>
      <w:r w:rsidRPr="003454ED">
        <w:rPr>
          <w:rFonts w:ascii="David" w:hAnsi="David" w:hint="cs"/>
          <w:b/>
          <w:bCs/>
          <w:rtl/>
        </w:rPr>
        <w:t xml:space="preserve"> התביעה לביטול הסכם ההוצל"פ:</w:t>
      </w:r>
    </w:p>
    <w:p w:rsidR="00EC030A" w:rsidRPr="00EC030A" w:rsidRDefault="00EC030A" w:rsidP="00EC030A">
      <w:pPr>
        <w:rPr>
          <w:rFonts w:ascii="David" w:hAnsi="David"/>
          <w:b/>
          <w:bCs/>
          <w:sz w:val="16"/>
          <w:szCs w:val="16"/>
          <w:rtl/>
        </w:rPr>
      </w:pPr>
    </w:p>
    <w:p w:rsidR="003454ED" w:rsidRPr="00D81F9D" w:rsidRDefault="003454ED" w:rsidP="003454ED">
      <w:pPr>
        <w:rPr>
          <w:rFonts w:ascii="David" w:hAnsi="David"/>
          <w:b/>
          <w:bCs/>
          <w:sz w:val="16"/>
          <w:szCs w:val="16"/>
          <w:rtl/>
        </w:rPr>
      </w:pPr>
    </w:p>
    <w:p w:rsidR="00E31FE9" w:rsidRDefault="003454ED" w:rsidP="00E31FE9">
      <w:pPr>
        <w:rPr>
          <w:rFonts w:ascii="David" w:hAnsi="David"/>
          <w:b/>
          <w:bCs/>
          <w:rtl/>
        </w:rPr>
      </w:pPr>
      <w:r>
        <w:rPr>
          <w:rFonts w:ascii="David" w:hAnsi="David" w:hint="cs"/>
          <w:b/>
          <w:bCs/>
          <w:rtl/>
        </w:rPr>
        <w:t xml:space="preserve">ג.1. </w:t>
      </w:r>
      <w:r>
        <w:rPr>
          <w:rFonts w:ascii="David" w:hAnsi="David"/>
          <w:b/>
          <w:bCs/>
          <w:rtl/>
        </w:rPr>
        <w:t>–</w:t>
      </w:r>
      <w:r>
        <w:rPr>
          <w:rFonts w:ascii="David" w:hAnsi="David" w:hint="cs"/>
          <w:b/>
          <w:bCs/>
          <w:rtl/>
        </w:rPr>
        <w:t xml:space="preserve"> טענות הצדדים:</w:t>
      </w:r>
    </w:p>
    <w:p w:rsidR="003454ED" w:rsidRPr="00D81F9D" w:rsidRDefault="003454ED" w:rsidP="003454ED">
      <w:pPr>
        <w:pStyle w:val="ad"/>
        <w:rPr>
          <w:rFonts w:ascii="David" w:hAnsi="David"/>
          <w:sz w:val="16"/>
          <w:szCs w:val="16"/>
          <w:rtl/>
        </w:rPr>
      </w:pPr>
    </w:p>
    <w:p w:rsidR="003454ED" w:rsidRDefault="003454ED" w:rsidP="003454ED">
      <w:pPr>
        <w:pStyle w:val="ad"/>
        <w:numPr>
          <w:ilvl w:val="0"/>
          <w:numId w:val="1"/>
        </w:numPr>
        <w:spacing w:line="360" w:lineRule="auto"/>
        <w:ind w:left="567" w:hanging="567"/>
        <w:jc w:val="both"/>
        <w:rPr>
          <w:rFonts w:ascii="David" w:hAnsi="David"/>
        </w:rPr>
      </w:pPr>
      <w:r>
        <w:rPr>
          <w:rFonts w:ascii="David" w:hAnsi="David" w:hint="cs"/>
          <w:rtl/>
        </w:rPr>
        <w:t>להלן עיקר טענות האשה:</w:t>
      </w:r>
    </w:p>
    <w:p w:rsidR="003454ED" w:rsidRPr="00D81F9D" w:rsidRDefault="003454ED" w:rsidP="003454ED">
      <w:pPr>
        <w:pStyle w:val="ad"/>
        <w:spacing w:line="360" w:lineRule="auto"/>
        <w:ind w:left="567"/>
        <w:jc w:val="both"/>
        <w:rPr>
          <w:rFonts w:ascii="David" w:hAnsi="David"/>
          <w:sz w:val="16"/>
          <w:szCs w:val="16"/>
          <w:rtl/>
        </w:rPr>
      </w:pPr>
    </w:p>
    <w:p w:rsidR="00D81F9D" w:rsidRDefault="00D81F9D" w:rsidP="00EC030A">
      <w:pPr>
        <w:pStyle w:val="ad"/>
        <w:numPr>
          <w:ilvl w:val="0"/>
          <w:numId w:val="10"/>
        </w:numPr>
        <w:spacing w:line="360" w:lineRule="auto"/>
        <w:jc w:val="both"/>
        <w:rPr>
          <w:rFonts w:ascii="David" w:hAnsi="David"/>
        </w:rPr>
      </w:pPr>
      <w:r>
        <w:rPr>
          <w:rFonts w:ascii="David" w:hAnsi="David" w:hint="cs"/>
          <w:rtl/>
        </w:rPr>
        <w:t>האשה נתנה הסכמתה להסכם מתוך טעות ומאחר והייתה במצוקה קשה וחמורה מחמת שהאיש מנע ממנה את חלקה בכספים</w:t>
      </w:r>
      <w:r w:rsidR="00EC030A">
        <w:rPr>
          <w:rFonts w:ascii="David" w:hAnsi="David" w:hint="cs"/>
          <w:rtl/>
        </w:rPr>
        <w:t xml:space="preserve"> משך תקופה ארוכה</w:t>
      </w:r>
      <w:r>
        <w:rPr>
          <w:rFonts w:ascii="David" w:hAnsi="David" w:hint="cs"/>
          <w:rtl/>
        </w:rPr>
        <w:t>.</w:t>
      </w:r>
    </w:p>
    <w:p w:rsidR="003454ED" w:rsidRDefault="00D81F9D" w:rsidP="00D81F9D">
      <w:pPr>
        <w:pStyle w:val="ad"/>
        <w:numPr>
          <w:ilvl w:val="0"/>
          <w:numId w:val="10"/>
        </w:numPr>
        <w:spacing w:line="360" w:lineRule="auto"/>
        <w:jc w:val="both"/>
        <w:rPr>
          <w:rFonts w:ascii="David" w:hAnsi="David"/>
        </w:rPr>
      </w:pPr>
      <w:r>
        <w:rPr>
          <w:rFonts w:ascii="David" w:hAnsi="David" w:hint="cs"/>
          <w:rtl/>
        </w:rPr>
        <w:t xml:space="preserve">האשה ויתרה על כמיליון ₪ מחוסר ידיעה </w:t>
      </w:r>
      <w:r w:rsidR="00B72191">
        <w:rPr>
          <w:rFonts w:ascii="David" w:hAnsi="David" w:hint="cs"/>
          <w:rtl/>
        </w:rPr>
        <w:t>ומאחר והייתה מצויה בהליכי פש"ר, היה הכרח לקבל את הסכמת הנאמן ואישורו של בית המשפט המחוזי של פש"ר ומאחר ואלה לא ניתנו, ההסכם בטל מעיקרו.</w:t>
      </w:r>
      <w:r>
        <w:rPr>
          <w:rFonts w:ascii="David" w:hAnsi="David" w:hint="cs"/>
          <w:rtl/>
        </w:rPr>
        <w:t xml:space="preserve"> </w:t>
      </w:r>
    </w:p>
    <w:p w:rsidR="003454ED" w:rsidRDefault="00B72191" w:rsidP="003454ED">
      <w:pPr>
        <w:pStyle w:val="ad"/>
        <w:numPr>
          <w:ilvl w:val="0"/>
          <w:numId w:val="10"/>
        </w:numPr>
        <w:spacing w:line="360" w:lineRule="auto"/>
        <w:jc w:val="both"/>
        <w:rPr>
          <w:rFonts w:ascii="David" w:hAnsi="David"/>
        </w:rPr>
      </w:pPr>
      <w:r>
        <w:rPr>
          <w:rFonts w:ascii="David" w:hAnsi="David" w:hint="cs"/>
          <w:rtl/>
        </w:rPr>
        <w:t>האשה לא הייתה מודעת לגובה החוב האמיתי שחב לה האיש, כאשר חוב זה צבר הפרשי הצמדה וריבית ולאיש לא הייתה כל הגנה מפני תשלומו.</w:t>
      </w:r>
    </w:p>
    <w:p w:rsidR="00B72191" w:rsidRDefault="00B72191" w:rsidP="00B72191">
      <w:pPr>
        <w:pStyle w:val="ad"/>
        <w:numPr>
          <w:ilvl w:val="0"/>
          <w:numId w:val="10"/>
        </w:numPr>
        <w:spacing w:line="360" w:lineRule="auto"/>
        <w:jc w:val="both"/>
        <w:rPr>
          <w:rFonts w:ascii="David" w:hAnsi="David"/>
        </w:rPr>
      </w:pPr>
      <w:r>
        <w:rPr>
          <w:rFonts w:ascii="David" w:hAnsi="David" w:hint="cs"/>
          <w:rtl/>
        </w:rPr>
        <w:t xml:space="preserve">במעמד הדיון בלשכת ההוצאה לפועל, הייתה האשה חולה ובמצב נפשי קשה </w:t>
      </w:r>
      <w:r w:rsidRPr="00121C41">
        <w:rPr>
          <w:rFonts w:ascii="David" w:hAnsi="David" w:hint="cs"/>
          <w:b/>
          <w:bCs/>
          <w:rtl/>
        </w:rPr>
        <w:t xml:space="preserve">"ולאחר שלחצו עליה מבלי להסביר לה את הסכום הכולל המגיע לה ולאחר שעות בהן הותשה לגמרי </w:t>
      </w:r>
      <w:r w:rsidRPr="00121C41">
        <w:rPr>
          <w:rFonts w:ascii="David" w:hAnsi="David"/>
          <w:b/>
          <w:bCs/>
          <w:rtl/>
        </w:rPr>
        <w:t>–</w:t>
      </w:r>
      <w:r w:rsidRPr="00121C41">
        <w:rPr>
          <w:rFonts w:ascii="David" w:hAnsi="David" w:hint="cs"/>
          <w:b/>
          <w:bCs/>
          <w:rtl/>
        </w:rPr>
        <w:t xml:space="preserve"> מצבה הפיזי והנפשי נהייה </w:t>
      </w:r>
      <w:r w:rsidR="00205251" w:rsidRPr="00121C41">
        <w:rPr>
          <w:rFonts w:ascii="David" w:hAnsi="David" w:hint="cs"/>
          <w:b/>
          <w:bCs/>
          <w:rtl/>
        </w:rPr>
        <w:t>יותר גרוע והנתבע ניצל את חולשתה ואת חוסר הבנתה כדי שתסכים להסדר הפשרה"</w:t>
      </w:r>
      <w:r w:rsidR="00205251">
        <w:rPr>
          <w:rFonts w:ascii="David" w:hAnsi="David" w:hint="cs"/>
          <w:rtl/>
        </w:rPr>
        <w:t xml:space="preserve"> (ר' סעיף 21 לכתב התביעה).</w:t>
      </w:r>
    </w:p>
    <w:p w:rsidR="00F212FC" w:rsidRDefault="00F212FC" w:rsidP="00F212FC">
      <w:pPr>
        <w:pStyle w:val="ad"/>
        <w:spacing w:line="360" w:lineRule="auto"/>
        <w:ind w:left="927"/>
        <w:jc w:val="both"/>
        <w:rPr>
          <w:rFonts w:ascii="David" w:hAnsi="David"/>
        </w:rPr>
      </w:pPr>
    </w:p>
    <w:p w:rsidR="003454ED" w:rsidRDefault="003454ED" w:rsidP="00205251">
      <w:pPr>
        <w:pStyle w:val="ad"/>
        <w:numPr>
          <w:ilvl w:val="0"/>
          <w:numId w:val="10"/>
        </w:numPr>
        <w:spacing w:line="360" w:lineRule="auto"/>
        <w:jc w:val="both"/>
        <w:rPr>
          <w:rFonts w:ascii="David" w:hAnsi="David"/>
        </w:rPr>
      </w:pPr>
      <w:r>
        <w:rPr>
          <w:rFonts w:ascii="David" w:hAnsi="David" w:hint="cs"/>
          <w:rtl/>
        </w:rPr>
        <w:lastRenderedPageBreak/>
        <w:t xml:space="preserve"> </w:t>
      </w:r>
      <w:r w:rsidR="00205251">
        <w:rPr>
          <w:rFonts w:ascii="David" w:hAnsi="David" w:hint="cs"/>
          <w:rtl/>
        </w:rPr>
        <w:t xml:space="preserve">ב"כ הצדדים ניהלו מו"מ על גובה קרן החוב </w:t>
      </w:r>
      <w:r w:rsidR="00205251" w:rsidRPr="00121C41">
        <w:rPr>
          <w:rFonts w:ascii="David" w:hAnsi="David" w:hint="cs"/>
          <w:b/>
          <w:bCs/>
          <w:rtl/>
        </w:rPr>
        <w:t>"כאשר אינם מזכירים את הריבית וההצמדה שיש להוסיף לחוב זה..."</w:t>
      </w:r>
      <w:r w:rsidR="00205251">
        <w:rPr>
          <w:rFonts w:ascii="David" w:hAnsi="David" w:hint="cs"/>
          <w:rtl/>
        </w:rPr>
        <w:t xml:space="preserve">  (ר' סעיף 27 לכתב התביעה). החוב האמיתי של האיש, כולל ריבית והצמדה עומד על כ 2 מיליון ₪ והסכום שנקבע בהסכם הפשרה (980,000 ₪) אינו מכסה אפילו את הקרן, ולכן מדובר בהסכם שהתנאי העיקרי בו חורג במידה רבה מהמקובל</w:t>
      </w:r>
      <w:r w:rsidR="00121C41">
        <w:rPr>
          <w:rFonts w:ascii="David" w:hAnsi="David" w:hint="cs"/>
          <w:rtl/>
        </w:rPr>
        <w:t>, מה שמלמד כי ההסכם נגוע בעושק</w:t>
      </w:r>
      <w:r w:rsidR="00205251">
        <w:rPr>
          <w:rFonts w:ascii="David" w:hAnsi="David" w:hint="cs"/>
          <w:rtl/>
        </w:rPr>
        <w:t>.</w:t>
      </w:r>
    </w:p>
    <w:p w:rsidR="003454ED" w:rsidRPr="00E31FE9" w:rsidRDefault="003454ED" w:rsidP="003454ED">
      <w:pPr>
        <w:pStyle w:val="ad"/>
        <w:spacing w:line="360" w:lineRule="auto"/>
        <w:ind w:left="567"/>
        <w:jc w:val="both"/>
        <w:rPr>
          <w:rFonts w:ascii="David" w:hAnsi="David"/>
          <w:sz w:val="16"/>
          <w:szCs w:val="16"/>
        </w:rPr>
      </w:pPr>
    </w:p>
    <w:p w:rsidR="003454ED" w:rsidRDefault="003454ED" w:rsidP="003454ED">
      <w:pPr>
        <w:pStyle w:val="ad"/>
        <w:numPr>
          <w:ilvl w:val="0"/>
          <w:numId w:val="1"/>
        </w:numPr>
        <w:spacing w:line="360" w:lineRule="auto"/>
        <w:ind w:left="567" w:hanging="567"/>
        <w:jc w:val="both"/>
        <w:rPr>
          <w:rFonts w:ascii="David" w:hAnsi="David"/>
        </w:rPr>
      </w:pPr>
      <w:r>
        <w:rPr>
          <w:rFonts w:ascii="David" w:hAnsi="David" w:hint="cs"/>
          <w:rtl/>
        </w:rPr>
        <w:t xml:space="preserve">להלן עיקר טענות האיש: </w:t>
      </w:r>
    </w:p>
    <w:p w:rsidR="00E31FE9" w:rsidRPr="00E31FE9" w:rsidRDefault="00E31FE9" w:rsidP="00E31FE9">
      <w:pPr>
        <w:pStyle w:val="ad"/>
        <w:spacing w:line="360" w:lineRule="auto"/>
        <w:ind w:left="567"/>
        <w:jc w:val="both"/>
        <w:rPr>
          <w:rFonts w:ascii="David" w:hAnsi="David"/>
          <w:sz w:val="16"/>
          <w:szCs w:val="16"/>
        </w:rPr>
      </w:pPr>
    </w:p>
    <w:p w:rsidR="003A3628" w:rsidRDefault="003A3628" w:rsidP="003A3628">
      <w:pPr>
        <w:pStyle w:val="ad"/>
        <w:numPr>
          <w:ilvl w:val="0"/>
          <w:numId w:val="12"/>
        </w:numPr>
        <w:spacing w:line="360" w:lineRule="auto"/>
        <w:jc w:val="both"/>
        <w:rPr>
          <w:rFonts w:ascii="David" w:hAnsi="David"/>
        </w:rPr>
      </w:pPr>
      <w:r>
        <w:rPr>
          <w:rFonts w:ascii="David" w:hAnsi="David" w:hint="cs"/>
          <w:rtl/>
        </w:rPr>
        <w:t>האשה הייתה מיוצגת בדיון בו הגיעו הצדדים להסכם וחרף טענותיה באשר לדיון ולייצוג שקיבלה, לא טרחה להביא את עדותו של ב"כ דאז, מה שמלמד על מופרכות טענותיה.</w:t>
      </w:r>
    </w:p>
    <w:p w:rsidR="00626CC4" w:rsidRPr="00E31FE9" w:rsidRDefault="003A3628" w:rsidP="00E31FE9">
      <w:pPr>
        <w:pStyle w:val="ad"/>
        <w:numPr>
          <w:ilvl w:val="0"/>
          <w:numId w:val="12"/>
        </w:numPr>
        <w:spacing w:line="360" w:lineRule="auto"/>
        <w:jc w:val="both"/>
        <w:rPr>
          <w:rFonts w:ascii="David" w:hAnsi="David"/>
        </w:rPr>
      </w:pPr>
      <w:r>
        <w:rPr>
          <w:rFonts w:ascii="David" w:hAnsi="David" w:hint="cs"/>
          <w:rtl/>
        </w:rPr>
        <w:t xml:space="preserve">הדיון ארך למעלה משעתיים ונחתם רק לאחר </w:t>
      </w:r>
      <w:r w:rsidR="00626CC4">
        <w:rPr>
          <w:rFonts w:ascii="David" w:hAnsi="David" w:hint="cs"/>
          <w:rtl/>
        </w:rPr>
        <w:t xml:space="preserve">שכל אחד מהם שקל את שיקוליו בזיקה ישירה לנתוני התיק.  </w:t>
      </w:r>
      <w:r w:rsidR="00626CC4" w:rsidRPr="00E31FE9">
        <w:rPr>
          <w:rFonts w:ascii="David" w:hAnsi="David" w:hint="cs"/>
          <w:rtl/>
        </w:rPr>
        <w:t>האשה ידעה והסכימה לכל תנאיי ההסכם ותביעתה איננה אלא ניסיון למקצה שיפורים.</w:t>
      </w:r>
    </w:p>
    <w:p w:rsidR="00626CC4" w:rsidRDefault="00626CC4" w:rsidP="00626CC4">
      <w:pPr>
        <w:pStyle w:val="ad"/>
        <w:numPr>
          <w:ilvl w:val="0"/>
          <w:numId w:val="12"/>
        </w:numPr>
        <w:spacing w:line="360" w:lineRule="auto"/>
        <w:jc w:val="both"/>
        <w:rPr>
          <w:rFonts w:ascii="David" w:hAnsi="David"/>
        </w:rPr>
      </w:pPr>
      <w:r>
        <w:rPr>
          <w:rFonts w:ascii="David" w:hAnsi="David" w:hint="cs"/>
          <w:rtl/>
        </w:rPr>
        <w:t>טענתה של האשה לטעות מופרכת. כל הסכם פשרה כולל בחובו פשרות שעושים הצדדים ולא כל פשרה היא טעות המצדיקה ביטולו של הסכם.</w:t>
      </w:r>
    </w:p>
    <w:p w:rsidR="00626CC4" w:rsidRDefault="00626CC4" w:rsidP="00626CC4">
      <w:pPr>
        <w:pStyle w:val="ad"/>
        <w:numPr>
          <w:ilvl w:val="0"/>
          <w:numId w:val="12"/>
        </w:numPr>
        <w:spacing w:line="360" w:lineRule="auto"/>
        <w:jc w:val="both"/>
        <w:rPr>
          <w:rFonts w:ascii="David" w:hAnsi="David"/>
        </w:rPr>
      </w:pPr>
      <w:r>
        <w:rPr>
          <w:rFonts w:ascii="David" w:hAnsi="David" w:hint="cs"/>
          <w:rtl/>
        </w:rPr>
        <w:t>ב</w:t>
      </w:r>
      <w:r w:rsidR="00E31FE9">
        <w:rPr>
          <w:rFonts w:ascii="David" w:hAnsi="David" w:hint="cs"/>
          <w:rtl/>
        </w:rPr>
        <w:t xml:space="preserve">אשר לטענת העושק </w:t>
      </w:r>
      <w:r w:rsidR="00E31FE9">
        <w:rPr>
          <w:rFonts w:ascii="David" w:hAnsi="David"/>
          <w:rtl/>
        </w:rPr>
        <w:t>–</w:t>
      </w:r>
      <w:r w:rsidR="00E31FE9">
        <w:rPr>
          <w:rFonts w:ascii="David" w:hAnsi="David" w:hint="cs"/>
          <w:rtl/>
        </w:rPr>
        <w:t xml:space="preserve"> אין בנמצא כל ראיה כי האשה מסרה הסכמתה מתוך כפייה או עושק או תוך ניצול מצבה הנפשי, ולמעשה הפרוטוקול מוכיח את ההיפך מכך.</w:t>
      </w:r>
    </w:p>
    <w:p w:rsidR="003454ED" w:rsidRDefault="00E31FE9" w:rsidP="00E31FE9">
      <w:pPr>
        <w:pStyle w:val="ad"/>
        <w:numPr>
          <w:ilvl w:val="0"/>
          <w:numId w:val="12"/>
        </w:numPr>
        <w:spacing w:line="360" w:lineRule="auto"/>
        <w:jc w:val="both"/>
        <w:rPr>
          <w:rFonts w:ascii="David" w:hAnsi="David"/>
        </w:rPr>
      </w:pPr>
      <w:r>
        <w:rPr>
          <w:rFonts w:ascii="David" w:hAnsi="David" w:hint="cs"/>
          <w:rtl/>
        </w:rPr>
        <w:t xml:space="preserve">באשר לאי קבלת אישור הנאמן ו/או בית המשפט של פש"ר </w:t>
      </w:r>
      <w:r>
        <w:rPr>
          <w:rFonts w:ascii="David" w:hAnsi="David"/>
          <w:rtl/>
        </w:rPr>
        <w:t>–</w:t>
      </w:r>
      <w:r>
        <w:rPr>
          <w:rFonts w:ascii="David" w:hAnsi="David" w:hint="cs"/>
          <w:rtl/>
        </w:rPr>
        <w:t xml:space="preserve"> לאיש אין ידיעות בעניין זה והדבר לא אמור לפגום בהסכם שגובש בין הצדדים. </w:t>
      </w:r>
    </w:p>
    <w:p w:rsidR="003454ED" w:rsidRPr="00A312FB" w:rsidRDefault="003454ED" w:rsidP="003454ED">
      <w:pPr>
        <w:spacing w:line="360" w:lineRule="auto"/>
        <w:jc w:val="both"/>
        <w:rPr>
          <w:rFonts w:ascii="David" w:hAnsi="David"/>
          <w:sz w:val="16"/>
          <w:szCs w:val="16"/>
          <w:rtl/>
        </w:rPr>
      </w:pPr>
    </w:p>
    <w:p w:rsidR="00E31FE9" w:rsidRDefault="00E31FE9" w:rsidP="00E31FE9">
      <w:pPr>
        <w:rPr>
          <w:rFonts w:ascii="David" w:hAnsi="David"/>
          <w:b/>
          <w:bCs/>
          <w:rtl/>
        </w:rPr>
      </w:pPr>
      <w:r>
        <w:rPr>
          <w:rFonts w:ascii="David" w:hAnsi="David" w:hint="cs"/>
          <w:b/>
          <w:bCs/>
          <w:rtl/>
        </w:rPr>
        <w:t xml:space="preserve">ג.2. </w:t>
      </w:r>
      <w:r>
        <w:rPr>
          <w:rFonts w:ascii="David" w:hAnsi="David"/>
          <w:b/>
          <w:bCs/>
          <w:rtl/>
        </w:rPr>
        <w:t>–</w:t>
      </w:r>
      <w:r>
        <w:rPr>
          <w:rFonts w:ascii="David" w:hAnsi="David" w:hint="cs"/>
          <w:b/>
          <w:bCs/>
          <w:rtl/>
        </w:rPr>
        <w:t xml:space="preserve"> דיון: </w:t>
      </w:r>
    </w:p>
    <w:p w:rsidR="00E31FE9" w:rsidRPr="00D81F9D" w:rsidRDefault="00E31FE9" w:rsidP="00E31FE9">
      <w:pPr>
        <w:pStyle w:val="ad"/>
        <w:rPr>
          <w:rFonts w:ascii="David" w:hAnsi="David"/>
          <w:sz w:val="16"/>
          <w:szCs w:val="16"/>
          <w:rtl/>
        </w:rPr>
      </w:pPr>
    </w:p>
    <w:p w:rsidR="003454ED" w:rsidRPr="002802F0" w:rsidRDefault="003454ED" w:rsidP="003454ED">
      <w:pPr>
        <w:spacing w:line="360" w:lineRule="auto"/>
        <w:jc w:val="both"/>
        <w:rPr>
          <w:rFonts w:ascii="David" w:hAnsi="David"/>
          <w:sz w:val="16"/>
          <w:szCs w:val="16"/>
        </w:rPr>
      </w:pPr>
    </w:p>
    <w:p w:rsidR="00C269C4" w:rsidRDefault="00A312FB" w:rsidP="002802F0">
      <w:pPr>
        <w:pStyle w:val="ad"/>
        <w:numPr>
          <w:ilvl w:val="0"/>
          <w:numId w:val="1"/>
        </w:numPr>
        <w:spacing w:line="360" w:lineRule="auto"/>
        <w:ind w:left="567" w:hanging="567"/>
        <w:jc w:val="both"/>
        <w:rPr>
          <w:rFonts w:ascii="David" w:hAnsi="David"/>
        </w:rPr>
      </w:pPr>
      <w:r>
        <w:rPr>
          <w:rFonts w:ascii="David" w:hAnsi="David" w:hint="cs"/>
          <w:rtl/>
        </w:rPr>
        <w:t xml:space="preserve">את טענותיה של האשה ניתן לחלק לארבעה: (א) ההסכם נחתם מחמת טעות באשר לגובה החוב; (ב) ההסכם נעדר את הסכמת הנאמן; (ג) </w:t>
      </w:r>
      <w:r w:rsidR="002C3159">
        <w:rPr>
          <w:rFonts w:ascii="David" w:hAnsi="David" w:hint="cs"/>
          <w:rtl/>
        </w:rPr>
        <w:t>מצבה הנפשי היה כזה שלא אפשר לה להבין על מה חתמה; (ד) תנאי ההסכם מלמדים שהיא נע</w:t>
      </w:r>
      <w:r w:rsidR="002802F0">
        <w:rPr>
          <w:rFonts w:ascii="David" w:hAnsi="David" w:hint="cs"/>
          <w:rtl/>
        </w:rPr>
        <w:t xml:space="preserve">שקה על ידי האיש. </w:t>
      </w:r>
    </w:p>
    <w:p w:rsidR="00C269C4" w:rsidRPr="00C269C4" w:rsidRDefault="00C269C4" w:rsidP="00C269C4">
      <w:pPr>
        <w:pStyle w:val="ad"/>
        <w:spacing w:line="360" w:lineRule="auto"/>
        <w:ind w:left="567"/>
        <w:jc w:val="both"/>
        <w:rPr>
          <w:rFonts w:ascii="David" w:hAnsi="David"/>
          <w:sz w:val="16"/>
          <w:szCs w:val="16"/>
        </w:rPr>
      </w:pPr>
    </w:p>
    <w:p w:rsidR="003454ED" w:rsidRDefault="002802F0" w:rsidP="002802F0">
      <w:pPr>
        <w:pStyle w:val="ad"/>
        <w:numPr>
          <w:ilvl w:val="0"/>
          <w:numId w:val="1"/>
        </w:numPr>
        <w:spacing w:line="360" w:lineRule="auto"/>
        <w:ind w:left="567" w:hanging="567"/>
        <w:jc w:val="both"/>
        <w:rPr>
          <w:rFonts w:ascii="David" w:hAnsi="David"/>
        </w:rPr>
      </w:pPr>
      <w:r>
        <w:rPr>
          <w:rFonts w:ascii="David" w:hAnsi="David" w:hint="cs"/>
          <w:rtl/>
        </w:rPr>
        <w:t>להלן אדון בטענותיה של האשה לפי סדרן.</w:t>
      </w:r>
    </w:p>
    <w:p w:rsidR="00C269C4" w:rsidRDefault="00C269C4" w:rsidP="002802F0">
      <w:pPr>
        <w:pStyle w:val="ad"/>
        <w:spacing w:line="360" w:lineRule="auto"/>
        <w:ind w:left="567"/>
        <w:jc w:val="both"/>
        <w:rPr>
          <w:rFonts w:ascii="David" w:hAnsi="David"/>
          <w:sz w:val="16"/>
          <w:szCs w:val="16"/>
          <w:rtl/>
        </w:rPr>
      </w:pPr>
    </w:p>
    <w:p w:rsidR="002802F0" w:rsidRPr="008C67D2" w:rsidRDefault="008C67D2" w:rsidP="008C67D2">
      <w:pPr>
        <w:spacing w:line="360" w:lineRule="auto"/>
        <w:jc w:val="both"/>
        <w:rPr>
          <w:rFonts w:ascii="David" w:hAnsi="David"/>
          <w:b/>
          <w:bCs/>
          <w:rtl/>
        </w:rPr>
      </w:pPr>
      <w:r w:rsidRPr="008C67D2">
        <w:rPr>
          <w:rFonts w:ascii="David" w:hAnsi="David" w:hint="cs"/>
          <w:b/>
          <w:bCs/>
          <w:rtl/>
        </w:rPr>
        <w:t xml:space="preserve">ג.1.2 - </w:t>
      </w:r>
      <w:r w:rsidR="002802F0" w:rsidRPr="008C67D2">
        <w:rPr>
          <w:rFonts w:ascii="David" w:hAnsi="David" w:hint="cs"/>
          <w:b/>
          <w:bCs/>
          <w:rtl/>
        </w:rPr>
        <w:t>ההסכם נחתם מחמת טעות:</w:t>
      </w:r>
    </w:p>
    <w:p w:rsidR="002802F0" w:rsidRPr="002802F0" w:rsidRDefault="002802F0" w:rsidP="002802F0">
      <w:pPr>
        <w:pStyle w:val="ad"/>
        <w:spacing w:line="360" w:lineRule="auto"/>
        <w:ind w:left="567"/>
        <w:jc w:val="both"/>
        <w:rPr>
          <w:rFonts w:ascii="David" w:hAnsi="David"/>
          <w:sz w:val="16"/>
          <w:szCs w:val="16"/>
        </w:rPr>
      </w:pPr>
    </w:p>
    <w:p w:rsidR="003454ED" w:rsidRDefault="002802F0" w:rsidP="002802F0">
      <w:pPr>
        <w:pStyle w:val="ad"/>
        <w:numPr>
          <w:ilvl w:val="0"/>
          <w:numId w:val="1"/>
        </w:numPr>
        <w:spacing w:line="360" w:lineRule="auto"/>
        <w:ind w:left="567" w:hanging="567"/>
        <w:jc w:val="both"/>
        <w:rPr>
          <w:rFonts w:ascii="David" w:hAnsi="David"/>
        </w:rPr>
      </w:pPr>
      <w:r>
        <w:rPr>
          <w:rFonts w:ascii="David" w:hAnsi="David" w:hint="cs"/>
          <w:rtl/>
        </w:rPr>
        <w:t>לטענת האשה, ההסכם שהתגבש בסופו של יום ארוך בדיון בפני רשמת ההוצאה לפועל, הביא לכך שהיא הפסידה כמיליון ₪. בכל הכבוד, אף אם הייתה טעות כלכלית מבחינתה של האשה, טעות זו איננה נותנת בידיה זכות לבטל את ההסכם, שכן טעות זו (ככל שהייתה)</w:t>
      </w:r>
      <w:r w:rsidR="00C269C4">
        <w:rPr>
          <w:rFonts w:ascii="David" w:hAnsi="David" w:hint="cs"/>
          <w:rtl/>
        </w:rPr>
        <w:t xml:space="preserve"> איננה אלא טעות בכדאיות העסקה</w:t>
      </w:r>
      <w:r>
        <w:rPr>
          <w:rFonts w:ascii="David" w:hAnsi="David" w:hint="cs"/>
          <w:rtl/>
        </w:rPr>
        <w:t xml:space="preserve"> </w:t>
      </w:r>
      <w:r w:rsidR="00C269C4">
        <w:rPr>
          <w:rFonts w:ascii="David" w:hAnsi="David" w:hint="cs"/>
          <w:rtl/>
        </w:rPr>
        <w:t xml:space="preserve">(השווה: סעיף 14(ד) לחוק החוזים (חלק כללי), תשל"ג 1973 (להלן: </w:t>
      </w:r>
      <w:r w:rsidR="00C269C4" w:rsidRPr="00F212FC">
        <w:rPr>
          <w:rFonts w:ascii="Miriam" w:hAnsi="Miriam" w:cs="Miriam"/>
          <w:b/>
          <w:bCs/>
          <w:sz w:val="20"/>
          <w:szCs w:val="20"/>
          <w:rtl/>
        </w:rPr>
        <w:t>חוק החוזים</w:t>
      </w:r>
      <w:r w:rsidR="00C269C4" w:rsidRPr="00C269C4">
        <w:rPr>
          <w:rFonts w:ascii="David" w:hAnsi="David" w:hint="cs"/>
          <w:rtl/>
        </w:rPr>
        <w:t>)).</w:t>
      </w:r>
      <w:r w:rsidR="00C269C4">
        <w:rPr>
          <w:rFonts w:ascii="David" w:hAnsi="David" w:hint="cs"/>
          <w:rtl/>
        </w:rPr>
        <w:t xml:space="preserve"> מעבר לכך, עסקינן בהסכם פשרה וככזה הוא משקף מו"מ בין צדדים ולחלוטין לא ניתן להלום כי לאחר שהסכם נכרת ולאחר שקיבל תוקף של החלטה, יבקש צד זה או אחר לבטלו מחמת טעות בכדאיות העסקה. </w:t>
      </w:r>
    </w:p>
    <w:p w:rsidR="00C269C4" w:rsidRPr="00C269C4" w:rsidRDefault="00C269C4" w:rsidP="00C269C4">
      <w:pPr>
        <w:pStyle w:val="ad"/>
        <w:spacing w:line="360" w:lineRule="auto"/>
        <w:ind w:left="567"/>
        <w:jc w:val="both"/>
        <w:rPr>
          <w:rFonts w:ascii="David" w:hAnsi="David"/>
          <w:sz w:val="16"/>
          <w:szCs w:val="16"/>
        </w:rPr>
      </w:pPr>
    </w:p>
    <w:p w:rsidR="006363C1" w:rsidRDefault="006363C1" w:rsidP="006363C1">
      <w:pPr>
        <w:pStyle w:val="ad"/>
        <w:numPr>
          <w:ilvl w:val="0"/>
          <w:numId w:val="1"/>
        </w:numPr>
        <w:spacing w:line="360" w:lineRule="auto"/>
        <w:ind w:left="567" w:hanging="567"/>
        <w:jc w:val="both"/>
        <w:rPr>
          <w:rFonts w:ascii="Arial" w:hAnsi="Arial"/>
          <w:noProof w:val="0"/>
        </w:rPr>
      </w:pPr>
      <w:r w:rsidRPr="006363C1">
        <w:rPr>
          <w:rFonts w:ascii="Arial" w:hAnsi="Arial"/>
          <w:noProof w:val="0"/>
          <w:rtl/>
        </w:rPr>
        <w:lastRenderedPageBreak/>
        <w:t>בהתאם לדין, "</w:t>
      </w:r>
      <w:r w:rsidRPr="006363C1">
        <w:rPr>
          <w:rFonts w:ascii="Arial" w:hAnsi="Arial"/>
          <w:b/>
          <w:bCs/>
          <w:noProof w:val="0"/>
          <w:rtl/>
        </w:rPr>
        <w:t>פסק דין שבהסכמה אשר הוא יציר כפיו של הסכם בין בעלי הדין – מורכב משני חלקים: מההסכם שבין הצדדים, ומהגושפנקה של השופט אשר זה הטביע עליו</w:t>
      </w:r>
      <w:r w:rsidRPr="006363C1">
        <w:rPr>
          <w:rFonts w:ascii="Arial" w:hAnsi="Arial"/>
          <w:noProof w:val="0"/>
          <w:rtl/>
        </w:rPr>
        <w:t xml:space="preserve">" (י' זוסמן </w:t>
      </w:r>
      <w:r w:rsidRPr="006363C1">
        <w:rPr>
          <w:rFonts w:ascii="Arial" w:hAnsi="Arial"/>
          <w:b/>
          <w:bCs/>
          <w:noProof w:val="0"/>
          <w:rtl/>
        </w:rPr>
        <w:t>סדרי הדין האזרחי</w:t>
      </w:r>
      <w:r w:rsidRPr="006363C1">
        <w:rPr>
          <w:rFonts w:ascii="Arial" w:hAnsi="Arial"/>
          <w:noProof w:val="0"/>
          <w:rtl/>
        </w:rPr>
        <w:t xml:space="preserve">, בעמ' 787). בע"א 4976/00 </w:t>
      </w:r>
      <w:r w:rsidRPr="006363C1">
        <w:rPr>
          <w:rFonts w:ascii="Arial" w:hAnsi="Arial"/>
          <w:b/>
          <w:bCs/>
          <w:noProof w:val="0"/>
          <w:rtl/>
        </w:rPr>
        <w:t>בית הפסנתר נ' דליה מור</w:t>
      </w:r>
      <w:r w:rsidRPr="006363C1">
        <w:rPr>
          <w:rFonts w:ascii="Arial" w:hAnsi="Arial"/>
          <w:noProof w:val="0"/>
          <w:rtl/>
        </w:rPr>
        <w:t xml:space="preserve"> (פורסם בנבו, 24.9.01); להלן: </w:t>
      </w:r>
      <w:r w:rsidRPr="00F212FC">
        <w:rPr>
          <w:rFonts w:ascii="Arial" w:hAnsi="Arial" w:cs="Miriam"/>
          <w:b/>
          <w:bCs/>
          <w:noProof w:val="0"/>
          <w:sz w:val="20"/>
          <w:szCs w:val="20"/>
          <w:rtl/>
        </w:rPr>
        <w:t>בית הפסנתר</w:t>
      </w:r>
      <w:r w:rsidRPr="006363C1">
        <w:rPr>
          <w:rFonts w:ascii="Arial" w:hAnsi="Arial"/>
          <w:noProof w:val="0"/>
          <w:rtl/>
        </w:rPr>
        <w:t>) נקבע כי להסכם פשרה שלושה מאפיינים:</w:t>
      </w:r>
      <w:r w:rsidRPr="006363C1">
        <w:rPr>
          <w:rFonts w:ascii="David" w:hAnsi="David" w:hint="cs"/>
          <w:rtl/>
        </w:rPr>
        <w:t xml:space="preserve"> </w:t>
      </w:r>
      <w:r w:rsidRPr="006363C1">
        <w:rPr>
          <w:rFonts w:ascii="Arial" w:hAnsi="Arial"/>
          <w:noProof w:val="0"/>
          <w:rtl/>
        </w:rPr>
        <w:t>(1)</w:t>
      </w:r>
      <w:r>
        <w:rPr>
          <w:rFonts w:ascii="Arial" w:hAnsi="Arial" w:hint="cs"/>
          <w:noProof w:val="0"/>
          <w:rtl/>
        </w:rPr>
        <w:t xml:space="preserve"> </w:t>
      </w:r>
      <w:r w:rsidRPr="006363C1">
        <w:rPr>
          <w:rFonts w:ascii="Arial" w:hAnsi="Arial"/>
          <w:noProof w:val="0"/>
          <w:rtl/>
        </w:rPr>
        <w:t>יסודו בחוזה;</w:t>
      </w:r>
      <w:r>
        <w:rPr>
          <w:rFonts w:ascii="Arial" w:hAnsi="Arial" w:hint="cs"/>
          <w:noProof w:val="0"/>
          <w:rtl/>
        </w:rPr>
        <w:t xml:space="preserve"> </w:t>
      </w:r>
      <w:r w:rsidRPr="006363C1">
        <w:rPr>
          <w:rFonts w:ascii="Arial" w:hAnsi="Arial"/>
          <w:noProof w:val="0"/>
          <w:rtl/>
        </w:rPr>
        <w:t>(2)</w:t>
      </w:r>
      <w:r>
        <w:rPr>
          <w:rFonts w:ascii="Arial" w:hAnsi="Arial" w:hint="cs"/>
          <w:noProof w:val="0"/>
          <w:rtl/>
        </w:rPr>
        <w:t xml:space="preserve"> </w:t>
      </w:r>
      <w:r w:rsidRPr="006363C1">
        <w:rPr>
          <w:rFonts w:ascii="Arial" w:hAnsi="Arial"/>
          <w:noProof w:val="0"/>
          <w:rtl/>
        </w:rPr>
        <w:t>החוזה הוא פרי פשרה בין מתדיינים בהליך שיפוטי;</w:t>
      </w:r>
      <w:r>
        <w:rPr>
          <w:rFonts w:ascii="Arial" w:hAnsi="Arial" w:hint="cs"/>
          <w:noProof w:val="0"/>
          <w:rtl/>
        </w:rPr>
        <w:t xml:space="preserve"> </w:t>
      </w:r>
      <w:r w:rsidRPr="006363C1">
        <w:rPr>
          <w:rFonts w:ascii="Arial" w:hAnsi="Arial"/>
          <w:noProof w:val="0"/>
          <w:rtl/>
        </w:rPr>
        <w:t>(3)</w:t>
      </w:r>
      <w:r>
        <w:rPr>
          <w:rFonts w:ascii="Arial" w:hAnsi="Arial" w:hint="cs"/>
          <w:noProof w:val="0"/>
          <w:rtl/>
        </w:rPr>
        <w:t xml:space="preserve"> </w:t>
      </w:r>
      <w:r w:rsidRPr="006363C1">
        <w:rPr>
          <w:rFonts w:ascii="Arial" w:hAnsi="Arial"/>
          <w:noProof w:val="0"/>
          <w:rtl/>
        </w:rPr>
        <w:t>לבקשת המתדיינים הסכם הפשרה הופך לפסק דין אם בית המשפט מוצא אותו ראוי ומאשרו.</w:t>
      </w:r>
    </w:p>
    <w:p w:rsidR="006363C1" w:rsidRPr="00714A79" w:rsidRDefault="006363C1" w:rsidP="006363C1">
      <w:pPr>
        <w:pStyle w:val="ad"/>
        <w:rPr>
          <w:rFonts w:ascii="Arial" w:hAnsi="Arial"/>
          <w:noProof w:val="0"/>
          <w:sz w:val="16"/>
          <w:szCs w:val="16"/>
          <w:rtl/>
        </w:rPr>
      </w:pPr>
    </w:p>
    <w:p w:rsidR="006363C1" w:rsidRDefault="006363C1" w:rsidP="006363C1">
      <w:pPr>
        <w:spacing w:line="360" w:lineRule="auto"/>
        <w:ind w:left="567"/>
        <w:jc w:val="both"/>
        <w:rPr>
          <w:rFonts w:ascii="Arial" w:hAnsi="Arial"/>
          <w:noProof w:val="0"/>
          <w:rtl/>
        </w:rPr>
      </w:pPr>
      <w:r>
        <w:rPr>
          <w:rFonts w:ascii="Arial" w:hAnsi="Arial"/>
          <w:noProof w:val="0"/>
          <w:rtl/>
        </w:rPr>
        <w:t>עוד ובנוסף, נקבע כי מאפיינים אלו אינם עומדים בגפם, אלא משליכים הם זה על זה. שכן, עצם השגת הפשרה, כמו גם קיומו של ההליך השיפוטי כמסגרת לניהול משא ומתן, מבטיחים את החוזה שנכרת מפני טענות העשויות לשלול את קיומה של ההתקשרות מעיקרה - כגון היעדר גמירת דעת - או מפני טענות המקימות עילה לביטול החוזה, כגון: טעות, הטעיה, כפייה ועושק (ר' בית הפסנתר, פיסקה 7).</w:t>
      </w:r>
    </w:p>
    <w:p w:rsidR="006363C1" w:rsidRPr="00714A79" w:rsidRDefault="006363C1" w:rsidP="006363C1">
      <w:pPr>
        <w:spacing w:line="360" w:lineRule="auto"/>
        <w:ind w:left="567"/>
        <w:jc w:val="both"/>
        <w:rPr>
          <w:rFonts w:ascii="Arial" w:hAnsi="Arial"/>
          <w:noProof w:val="0"/>
          <w:sz w:val="16"/>
          <w:szCs w:val="16"/>
          <w:rtl/>
        </w:rPr>
      </w:pPr>
    </w:p>
    <w:p w:rsidR="006363C1" w:rsidRPr="00C83FBC" w:rsidRDefault="006363C1" w:rsidP="00571E5F">
      <w:pPr>
        <w:pStyle w:val="ad"/>
        <w:numPr>
          <w:ilvl w:val="0"/>
          <w:numId w:val="1"/>
        </w:numPr>
        <w:spacing w:line="360" w:lineRule="auto"/>
        <w:ind w:left="567" w:hanging="567"/>
        <w:jc w:val="both"/>
        <w:rPr>
          <w:rFonts w:ascii="Arial" w:hAnsi="Arial"/>
          <w:noProof w:val="0"/>
        </w:rPr>
      </w:pPr>
      <w:r w:rsidRPr="006363C1">
        <w:rPr>
          <w:rFonts w:ascii="Arial" w:hAnsi="Arial"/>
          <w:noProof w:val="0"/>
          <w:rtl/>
        </w:rPr>
        <w:t xml:space="preserve">למעשה, וכפי שנקבע בע"א 2495/95 </w:t>
      </w:r>
      <w:r w:rsidRPr="006363C1">
        <w:rPr>
          <w:rFonts w:ascii="Arial" w:hAnsi="Arial"/>
          <w:b/>
          <w:bCs/>
          <w:noProof w:val="0"/>
          <w:rtl/>
        </w:rPr>
        <w:t>בן לולו נ' אטראש ואח'</w:t>
      </w:r>
      <w:r w:rsidRPr="006363C1">
        <w:rPr>
          <w:rFonts w:ascii="Arial" w:hAnsi="Arial"/>
          <w:noProof w:val="0"/>
          <w:rtl/>
        </w:rPr>
        <w:t xml:space="preserve"> (נבו, 21.5.1997); להלן: </w:t>
      </w:r>
      <w:r w:rsidRPr="00F212FC">
        <w:rPr>
          <w:rFonts w:ascii="Arial" w:hAnsi="Arial" w:cs="Miriam"/>
          <w:b/>
          <w:bCs/>
          <w:noProof w:val="0"/>
          <w:sz w:val="20"/>
          <w:szCs w:val="20"/>
          <w:rtl/>
        </w:rPr>
        <w:t>פס"ד בן לולו</w:t>
      </w:r>
      <w:r w:rsidRPr="006363C1">
        <w:rPr>
          <w:rFonts w:ascii="Arial" w:hAnsi="Arial"/>
          <w:noProof w:val="0"/>
          <w:rtl/>
        </w:rPr>
        <w:t>): "</w:t>
      </w:r>
      <w:r w:rsidRPr="006363C1">
        <w:rPr>
          <w:rFonts w:ascii="Arial" w:hAnsi="Arial"/>
          <w:b/>
          <w:bCs/>
          <w:noProof w:val="0"/>
          <w:rtl/>
        </w:rPr>
        <w:t>ניתן להגדיר פשרה כ"הסכם ליישוב סכסוך בין שני צדדים בתנאים אותם הצדדים רואים כהוגנים, אשר נעשה מתוך מודעות לאי וודאות עובדתית או משפטית, ואשר יש בו ויתורים הדדיים של כל אחד מן הצדדים על חלק מטענותיהם"</w:t>
      </w:r>
      <w:r w:rsidRPr="006363C1">
        <w:rPr>
          <w:rFonts w:ascii="Arial" w:hAnsi="Arial"/>
          <w:noProof w:val="0"/>
          <w:rtl/>
        </w:rPr>
        <w:t xml:space="preserve">. באשר למטרות שביסוד הפשרה, נאמר באותו המקום כי </w:t>
      </w:r>
      <w:r w:rsidRPr="006363C1">
        <w:rPr>
          <w:rFonts w:ascii="Arial" w:hAnsi="Arial"/>
          <w:b/>
          <w:bCs/>
          <w:noProof w:val="0"/>
          <w:rtl/>
        </w:rPr>
        <w:t xml:space="preserve">"אחת ממטרותיה העיקריות של פשרה היא למנוע תביעות נוספות בעתיד בקשר לעניין נושא הפשרה". </w:t>
      </w:r>
      <w:r w:rsidRPr="006363C1">
        <w:rPr>
          <w:rFonts w:ascii="Arial" w:hAnsi="Arial"/>
          <w:noProof w:val="0"/>
          <w:rtl/>
        </w:rPr>
        <w:t xml:space="preserve">חרף זאת, במצבים חריגים ביותר יתאפשר לבטל הסכם פשרה ובהוכחת קיומם של </w:t>
      </w:r>
      <w:r w:rsidRPr="006363C1">
        <w:rPr>
          <w:rFonts w:ascii="Arial" w:hAnsi="Arial"/>
          <w:i/>
          <w:iCs/>
          <w:noProof w:val="0"/>
          <w:rtl/>
        </w:rPr>
        <w:t>טעמים כבדי משקל</w:t>
      </w:r>
      <w:r w:rsidRPr="006363C1">
        <w:rPr>
          <w:rFonts w:ascii="Arial" w:hAnsi="Arial"/>
          <w:noProof w:val="0"/>
          <w:rtl/>
        </w:rPr>
        <w:t xml:space="preserve"> אשר יצדיקו את המסקנה כי דין הסכם הפשרה להתבטל (שם, פסקה 23 לפסק הדין; ע"א 690/88 </w:t>
      </w:r>
      <w:r w:rsidRPr="006363C1">
        <w:rPr>
          <w:rFonts w:ascii="Arial" w:hAnsi="Arial"/>
          <w:b/>
          <w:bCs/>
          <w:noProof w:val="0"/>
          <w:rtl/>
        </w:rPr>
        <w:t>רובין ואח' נ' רובין</w:t>
      </w:r>
      <w:r w:rsidRPr="006363C1">
        <w:rPr>
          <w:rFonts w:ascii="Arial" w:hAnsi="Arial"/>
          <w:noProof w:val="0"/>
          <w:rtl/>
        </w:rPr>
        <w:t xml:space="preserve"> (פורסם בנבו, 10.6.90) עמ' 461).</w:t>
      </w:r>
      <w:r w:rsidRPr="006363C1">
        <w:rPr>
          <w:rFonts w:ascii="Arial" w:hAnsi="Arial"/>
          <w:b/>
          <w:bCs/>
          <w:noProof w:val="0"/>
          <w:rtl/>
        </w:rPr>
        <w:t xml:space="preserve"> </w:t>
      </w:r>
      <w:r w:rsidR="00C83FBC">
        <w:rPr>
          <w:rFonts w:ascii="Arial" w:hAnsi="Arial" w:hint="cs"/>
          <w:noProof w:val="0"/>
          <w:rtl/>
        </w:rPr>
        <w:t>ו</w:t>
      </w:r>
      <w:r w:rsidRPr="00C83FBC">
        <w:rPr>
          <w:rFonts w:ascii="Arial" w:hAnsi="Arial" w:hint="cs"/>
          <w:noProof w:val="0"/>
          <w:rtl/>
        </w:rPr>
        <w:t>ר</w:t>
      </w:r>
      <w:r w:rsidR="00C83FBC">
        <w:rPr>
          <w:rFonts w:ascii="Arial" w:hAnsi="Arial" w:hint="cs"/>
          <w:noProof w:val="0"/>
          <w:rtl/>
        </w:rPr>
        <w:t xml:space="preserve">אה </w:t>
      </w:r>
      <w:r w:rsidRPr="00C83FBC">
        <w:rPr>
          <w:rFonts w:ascii="Arial" w:hAnsi="Arial" w:hint="cs"/>
          <w:noProof w:val="0"/>
          <w:rtl/>
        </w:rPr>
        <w:t>גם פסק דין שניתן ממש לאחרונה ב</w:t>
      </w:r>
      <w:r w:rsidRPr="00C83FBC">
        <w:rPr>
          <w:rFonts w:ascii="David" w:hAnsi="David"/>
          <w:rtl/>
        </w:rPr>
        <w:t>ע"א</w:t>
      </w:r>
      <w:r w:rsidRPr="00C83FBC">
        <w:rPr>
          <w:rFonts w:ascii="David" w:hAnsi="David"/>
          <w:b/>
          <w:bCs/>
          <w:rtl/>
        </w:rPr>
        <w:t xml:space="preserve"> 7410/23 איפרגן נ' סנדרס </w:t>
      </w:r>
      <w:r w:rsidRPr="00C83FBC">
        <w:rPr>
          <w:rFonts w:ascii="David" w:hAnsi="David" w:hint="cs"/>
          <w:rtl/>
        </w:rPr>
        <w:t xml:space="preserve">(נבו, 23.10.23): </w:t>
      </w:r>
      <w:r w:rsidRPr="00C83FBC">
        <w:rPr>
          <w:rFonts w:ascii="David" w:hAnsi="David" w:hint="cs"/>
          <w:b/>
          <w:bCs/>
          <w:rtl/>
        </w:rPr>
        <w:t>"</w:t>
      </w:r>
      <w:r w:rsidRPr="00C83FBC">
        <w:rPr>
          <w:rFonts w:ascii="David" w:hAnsi="David"/>
          <w:b/>
          <w:bCs/>
          <w:rtl/>
        </w:rPr>
        <w:t>נקודת המוצא לגבי הסכם מעין זה</w:t>
      </w:r>
      <w:r w:rsidRPr="00C83FBC">
        <w:rPr>
          <w:rFonts w:ascii="David" w:hAnsi="David" w:hint="cs"/>
          <w:b/>
          <w:bCs/>
          <w:rtl/>
        </w:rPr>
        <w:t xml:space="preserve"> </w:t>
      </w:r>
      <w:r w:rsidRPr="00C83FBC">
        <w:rPr>
          <w:rFonts w:ascii="David" w:hAnsi="David" w:hint="cs"/>
          <w:rtl/>
        </w:rPr>
        <w:t xml:space="preserve">(הסכם פשרה </w:t>
      </w:r>
      <w:r w:rsidRPr="00C83FBC">
        <w:rPr>
          <w:rFonts w:ascii="David" w:hAnsi="David"/>
          <w:rtl/>
        </w:rPr>
        <w:t>–</w:t>
      </w:r>
      <w:r w:rsidRPr="00C83FBC">
        <w:rPr>
          <w:rFonts w:ascii="David" w:hAnsi="David" w:hint="cs"/>
          <w:rtl/>
        </w:rPr>
        <w:t xml:space="preserve"> י' ש')</w:t>
      </w:r>
      <w:r w:rsidRPr="00C83FBC">
        <w:rPr>
          <w:rFonts w:ascii="David" w:hAnsi="David"/>
          <w:b/>
          <w:bCs/>
          <w:rtl/>
        </w:rPr>
        <w:t>, היא שיש לייחס משקל רב לסופיותו, וזאת על מנת להגשים את ציפיותיהם הסבירות של הצדדים. בהתאם לכך נפסק כי ביטולו של הסכם פשרה שקיבל תוקף של פסק דין יֵעשה במשורה, ובמקרים חריגים בלבד, בהם מתקיימים טעמים כבדי משקל</w:t>
      </w:r>
      <w:r w:rsidRPr="00C83FBC">
        <w:rPr>
          <w:rFonts w:ascii="David" w:hAnsi="David" w:hint="cs"/>
          <w:b/>
          <w:bCs/>
          <w:rtl/>
        </w:rPr>
        <w:t>"</w:t>
      </w:r>
      <w:r w:rsidRPr="00C83FBC">
        <w:rPr>
          <w:rFonts w:ascii="David" w:hAnsi="David" w:hint="cs"/>
          <w:rtl/>
        </w:rPr>
        <w:t xml:space="preserve">  (פסקה</w:t>
      </w:r>
      <w:r w:rsidRPr="00F212FC">
        <w:rPr>
          <w:rFonts w:ascii="David" w:hAnsi="David" w:hint="cs"/>
          <w:color w:val="FF0000"/>
          <w:rtl/>
        </w:rPr>
        <w:t xml:space="preserve"> </w:t>
      </w:r>
      <w:r w:rsidR="00571E5F" w:rsidRPr="00571E5F">
        <w:rPr>
          <w:rFonts w:ascii="David" w:hAnsi="David" w:hint="cs"/>
          <w:rtl/>
        </w:rPr>
        <w:t>9</w:t>
      </w:r>
      <w:r w:rsidRPr="00C83FBC">
        <w:rPr>
          <w:rFonts w:ascii="David" w:hAnsi="David" w:hint="cs"/>
          <w:rtl/>
        </w:rPr>
        <w:t xml:space="preserve"> לפסק הדין).</w:t>
      </w:r>
      <w:r w:rsidRPr="00C83FBC">
        <w:rPr>
          <w:rFonts w:ascii="David" w:hAnsi="David" w:hint="cs"/>
          <w:b/>
          <w:bCs/>
          <w:rtl/>
        </w:rPr>
        <w:t xml:space="preserve"> </w:t>
      </w:r>
    </w:p>
    <w:p w:rsidR="006363C1" w:rsidRPr="00673D34" w:rsidRDefault="006363C1" w:rsidP="006363C1">
      <w:pPr>
        <w:pStyle w:val="ad"/>
        <w:spacing w:line="360" w:lineRule="auto"/>
        <w:ind w:left="567"/>
        <w:jc w:val="both"/>
        <w:rPr>
          <w:rFonts w:ascii="Arial" w:hAnsi="Arial"/>
          <w:noProof w:val="0"/>
          <w:sz w:val="16"/>
          <w:szCs w:val="16"/>
          <w:rtl/>
        </w:rPr>
      </w:pPr>
    </w:p>
    <w:p w:rsidR="00F212FC" w:rsidRDefault="006363C1" w:rsidP="00C83FBC">
      <w:pPr>
        <w:pStyle w:val="ad"/>
        <w:numPr>
          <w:ilvl w:val="0"/>
          <w:numId w:val="1"/>
        </w:numPr>
        <w:spacing w:line="360" w:lineRule="auto"/>
        <w:ind w:left="567" w:hanging="567"/>
        <w:jc w:val="both"/>
        <w:rPr>
          <w:rFonts w:ascii="Arial" w:hAnsi="Arial"/>
          <w:noProof w:val="0"/>
        </w:rPr>
      </w:pPr>
      <w:r w:rsidRPr="006363C1">
        <w:rPr>
          <w:rFonts w:ascii="Arial" w:hAnsi="Arial"/>
          <w:noProof w:val="0"/>
          <w:rtl/>
        </w:rPr>
        <w:t xml:space="preserve">באשר לביטול הסכם פשרה מחמת טעות, נקבע בע"א 457/77 </w:t>
      </w:r>
      <w:r w:rsidRPr="006363C1">
        <w:rPr>
          <w:rFonts w:ascii="Arial" w:hAnsi="Arial"/>
          <w:b/>
          <w:bCs/>
          <w:noProof w:val="0"/>
          <w:rtl/>
        </w:rPr>
        <w:t>מפעלי בתים טרומיים בע"מ נ' סלומון טמסיט</w:t>
      </w:r>
      <w:r w:rsidRPr="006363C1">
        <w:rPr>
          <w:rFonts w:ascii="Arial" w:hAnsi="Arial"/>
          <w:noProof w:val="0"/>
          <w:rtl/>
        </w:rPr>
        <w:t xml:space="preserve"> (פורסם בנבו, 28.2.78) כי: "...</w:t>
      </w:r>
      <w:r w:rsidRPr="006363C1">
        <w:rPr>
          <w:rFonts w:ascii="Arial" w:hAnsi="Arial"/>
          <w:b/>
          <w:bCs/>
          <w:noProof w:val="0"/>
          <w:rtl/>
        </w:rPr>
        <w:t xml:space="preserve">ניתן לבטל פסק-דין, אשר ניתן על יסוד הסכם-פשרה בין הצדדים ונותן לו תוקף, אם נתגלה פגם אשר בעטיו ניתן לבטל את ההסכם המונח ביסודו של פסק-הדין... בין היתר, ניתן לבטל פסק-דין כאמור אם צד להסכם טעה או רומה וטעות ומעשה מרמה אלה היו יכולים לשמש עילה לביטולו של ההסכם גם אלמלא אושר בפסק-דין... הווה אומר, הטעות, שבה מדובר לצורך הענין שלפנינו, צריך שתהיה מן הסוג אשר בכוחה לבטל התקשרות חוזית </w:t>
      </w:r>
      <w:r w:rsidRPr="006363C1">
        <w:rPr>
          <w:rFonts w:ascii="Arial" w:hAnsi="Arial"/>
          <w:b/>
          <w:bCs/>
          <w:noProof w:val="0"/>
          <w:u w:val="single"/>
          <w:rtl/>
        </w:rPr>
        <w:t>ונטל הוכחתה על מי שטוען לקיומה</w:t>
      </w:r>
      <w:r w:rsidRPr="006363C1">
        <w:rPr>
          <w:rFonts w:ascii="Arial" w:hAnsi="Arial"/>
          <w:noProof w:val="0"/>
          <w:rtl/>
        </w:rPr>
        <w:t>..." (שם, עמ' 48 לפסק הדין; הדגשות אינן במקור - י' ש').</w:t>
      </w:r>
    </w:p>
    <w:p w:rsidR="00F212FC" w:rsidRDefault="00F212FC" w:rsidP="00F212FC">
      <w:pPr>
        <w:pStyle w:val="ad"/>
        <w:rPr>
          <w:rFonts w:ascii="Arial" w:hAnsi="Arial"/>
          <w:noProof w:val="0"/>
          <w:rtl/>
        </w:rPr>
      </w:pPr>
    </w:p>
    <w:p w:rsidR="00673D34" w:rsidRPr="00F212FC" w:rsidRDefault="00673D34" w:rsidP="00F212FC">
      <w:pPr>
        <w:pStyle w:val="ad"/>
        <w:rPr>
          <w:rFonts w:ascii="Arial" w:hAnsi="Arial"/>
          <w:noProof w:val="0"/>
          <w:rtl/>
        </w:rPr>
      </w:pPr>
    </w:p>
    <w:p w:rsidR="006363C1" w:rsidRDefault="006363C1" w:rsidP="00C83FBC">
      <w:pPr>
        <w:pStyle w:val="ad"/>
        <w:numPr>
          <w:ilvl w:val="0"/>
          <w:numId w:val="1"/>
        </w:numPr>
        <w:spacing w:line="360" w:lineRule="auto"/>
        <w:ind w:left="567" w:hanging="567"/>
        <w:jc w:val="both"/>
        <w:rPr>
          <w:rFonts w:ascii="Arial" w:hAnsi="Arial"/>
          <w:noProof w:val="0"/>
        </w:rPr>
      </w:pPr>
      <w:r w:rsidRPr="00C83FBC">
        <w:rPr>
          <w:rFonts w:ascii="Arial" w:hAnsi="Arial"/>
          <w:noProof w:val="0"/>
          <w:rtl/>
        </w:rPr>
        <w:lastRenderedPageBreak/>
        <w:t>לעניין המתח בין ביטול הסכם פשרה לבין אכיפתו, ככל שנטענה טענה לטעות שהובילה לקיומו של ההסכם, נקבע כי: "</w:t>
      </w:r>
      <w:r w:rsidRPr="00C83FBC">
        <w:rPr>
          <w:rFonts w:ascii="Arial" w:hAnsi="Arial"/>
          <w:b/>
          <w:bCs/>
          <w:noProof w:val="0"/>
          <w:rtl/>
        </w:rPr>
        <w:t xml:space="preserve">ברור, כי אם תינתן לבעלי-דין האופציה הנוחה לבטל הסכמי פשרה שבהם התקשרו, כל אימת שיסתבר להם בדיעבד כי נזקם גדול משסברו בעת כריתת ההסכם, </w:t>
      </w:r>
      <w:r w:rsidRPr="00C83FBC">
        <w:rPr>
          <w:rFonts w:ascii="Arial" w:hAnsi="Arial"/>
          <w:b/>
          <w:bCs/>
          <w:noProof w:val="0"/>
          <w:u w:val="single"/>
          <w:rtl/>
        </w:rPr>
        <w:t>יישמט כל יסוד מתחת למוסד הפשרה</w:t>
      </w:r>
      <w:r w:rsidRPr="00C83FBC">
        <w:rPr>
          <w:rFonts w:ascii="Arial" w:hAnsi="Arial"/>
          <w:b/>
          <w:bCs/>
          <w:noProof w:val="0"/>
          <w:rtl/>
        </w:rPr>
        <w:t>. לכן, מעירים פרידמן וכהן כי "מובן שאם הסתבר לאחד הצדדים, לאחר מעשה, כי הפשרה לא הייתה מוצלחת מבחינתו, שכן הסיכון התממש בדרך שונה מזו שהעריך, אין מקום לטענת טעות"...מכך עולה, כי יש לאפשר פגיעה בסופיותן של פשרות בשל התגלותן של עובדות בשלב מאוחר יותר, רק במצב שבו קיימים טעמים כבדי משקל במיוחד</w:t>
      </w:r>
      <w:r w:rsidRPr="00C83FBC">
        <w:rPr>
          <w:rFonts w:ascii="Arial" w:hAnsi="Arial"/>
          <w:noProof w:val="0"/>
          <w:rtl/>
        </w:rPr>
        <w:t>" (פס"ד בן לולו הנ"ל, פיסקה 12</w:t>
      </w:r>
      <w:r w:rsidR="00C83FBC">
        <w:rPr>
          <w:rFonts w:ascii="Arial" w:hAnsi="Arial" w:hint="cs"/>
          <w:noProof w:val="0"/>
          <w:rtl/>
        </w:rPr>
        <w:t>; הדגשות לא במקור</w:t>
      </w:r>
      <w:r w:rsidRPr="00C83FBC">
        <w:rPr>
          <w:rFonts w:ascii="Arial" w:hAnsi="Arial"/>
          <w:noProof w:val="0"/>
          <w:rtl/>
        </w:rPr>
        <w:t>).</w:t>
      </w:r>
    </w:p>
    <w:p w:rsidR="00C83FBC" w:rsidRPr="00C83FBC" w:rsidRDefault="00C83FBC" w:rsidP="00C83FBC">
      <w:pPr>
        <w:pStyle w:val="ad"/>
        <w:spacing w:line="360" w:lineRule="auto"/>
        <w:ind w:left="567"/>
        <w:jc w:val="both"/>
        <w:rPr>
          <w:rFonts w:ascii="Arial" w:hAnsi="Arial"/>
          <w:noProof w:val="0"/>
          <w:sz w:val="16"/>
          <w:szCs w:val="16"/>
        </w:rPr>
      </w:pPr>
    </w:p>
    <w:p w:rsidR="00F50F08" w:rsidRPr="00B33FD1" w:rsidRDefault="00C83FBC" w:rsidP="00454D5D">
      <w:pPr>
        <w:pStyle w:val="ad"/>
        <w:numPr>
          <w:ilvl w:val="0"/>
          <w:numId w:val="1"/>
        </w:numPr>
        <w:spacing w:line="360" w:lineRule="auto"/>
        <w:ind w:left="567" w:hanging="567"/>
        <w:jc w:val="both"/>
        <w:rPr>
          <w:rFonts w:ascii="Arial" w:hAnsi="Arial"/>
          <w:noProof w:val="0"/>
        </w:rPr>
      </w:pPr>
      <w:r w:rsidRPr="00C83FBC">
        <w:rPr>
          <w:rFonts w:ascii="Arial" w:hAnsi="Arial" w:hint="cs"/>
          <w:noProof w:val="0"/>
          <w:rtl/>
        </w:rPr>
        <w:t xml:space="preserve">במקרה שלפנינו טוענת האשה כי </w:t>
      </w:r>
      <w:r w:rsidR="006363C1" w:rsidRPr="00C83FBC">
        <w:rPr>
          <w:rFonts w:ascii="Arial" w:hAnsi="Arial"/>
          <w:noProof w:val="0"/>
          <w:rtl/>
        </w:rPr>
        <w:t xml:space="preserve">בהסכם הפשרה </w:t>
      </w:r>
      <w:r w:rsidR="006363C1" w:rsidRPr="00C83FBC">
        <w:rPr>
          <w:rFonts w:ascii="Arial" w:hAnsi="Arial"/>
          <w:i/>
          <w:iCs/>
          <w:noProof w:val="0"/>
          <w:rtl/>
        </w:rPr>
        <w:t>נפלה טעות</w:t>
      </w:r>
      <w:r w:rsidR="006363C1" w:rsidRPr="00C83FBC">
        <w:rPr>
          <w:rFonts w:ascii="Arial" w:hAnsi="Arial"/>
          <w:noProof w:val="0"/>
          <w:rtl/>
        </w:rPr>
        <w:t xml:space="preserve"> המחייבת את ביטולו, כאשר אותה הטעות נעוצה באי ידיעתה </w:t>
      </w:r>
      <w:r w:rsidRPr="00C83FBC">
        <w:rPr>
          <w:rFonts w:ascii="Arial" w:hAnsi="Arial" w:hint="cs"/>
          <w:noProof w:val="0"/>
          <w:rtl/>
        </w:rPr>
        <w:t>במעמד גיבוש ההסכם מהו מלוא החוב (כולל הצמדה וריבית), שלטענתה, חב לה האיש</w:t>
      </w:r>
      <w:r w:rsidRPr="00C83FBC">
        <w:rPr>
          <w:rFonts w:ascii="Arial" w:hAnsi="Arial" w:hint="cs"/>
          <w:noProof w:val="0"/>
          <w:sz w:val="20"/>
          <w:szCs w:val="20"/>
          <w:rtl/>
        </w:rPr>
        <w:t>.</w:t>
      </w:r>
      <w:r w:rsidR="00F212FC">
        <w:rPr>
          <w:rFonts w:ascii="Arial" w:hAnsi="Arial" w:hint="cs"/>
          <w:noProof w:val="0"/>
          <w:sz w:val="20"/>
          <w:szCs w:val="20"/>
          <w:rtl/>
        </w:rPr>
        <w:t xml:space="preserve"> </w:t>
      </w:r>
      <w:r w:rsidR="00F212FC" w:rsidRPr="00F212FC">
        <w:rPr>
          <w:rFonts w:ascii="Arial" w:hAnsi="Arial" w:hint="cs"/>
          <w:noProof w:val="0"/>
          <w:rtl/>
        </w:rPr>
        <w:t xml:space="preserve">עניין </w:t>
      </w:r>
      <w:r w:rsidR="00F212FC">
        <w:rPr>
          <w:rFonts w:ascii="Arial" w:hAnsi="Arial" w:hint="cs"/>
          <w:noProof w:val="0"/>
          <w:rtl/>
        </w:rPr>
        <w:t xml:space="preserve">הריבית, שלטענת האשה, חב לה האיש, לשיטתה, היווה </w:t>
      </w:r>
      <w:r w:rsidR="00F212FC">
        <w:rPr>
          <w:rFonts w:ascii="Arial" w:hAnsi="Arial"/>
          <w:noProof w:val="0"/>
          <w:rtl/>
        </w:rPr>
        <w:t>–</w:t>
      </w:r>
      <w:r w:rsidR="00F212FC">
        <w:rPr>
          <w:rFonts w:ascii="Arial" w:hAnsi="Arial" w:hint="cs"/>
          <w:noProof w:val="0"/>
          <w:rtl/>
        </w:rPr>
        <w:t xml:space="preserve"> להבנתי </w:t>
      </w:r>
      <w:r w:rsidR="00F212FC">
        <w:rPr>
          <w:rFonts w:ascii="Arial" w:hAnsi="Arial"/>
          <w:noProof w:val="0"/>
          <w:rtl/>
        </w:rPr>
        <w:t>–</w:t>
      </w:r>
      <w:r w:rsidR="00F212FC">
        <w:rPr>
          <w:rFonts w:ascii="Arial" w:hAnsi="Arial" w:hint="cs"/>
          <w:noProof w:val="0"/>
          <w:rtl/>
        </w:rPr>
        <w:t xml:space="preserve"> את היסודות עליהן ניצבת תביעתה כולה. כך,</w:t>
      </w:r>
      <w:r w:rsidR="00006B56">
        <w:rPr>
          <w:rFonts w:ascii="Arial" w:hAnsi="Arial" w:hint="cs"/>
          <w:noProof w:val="0"/>
          <w:rtl/>
        </w:rPr>
        <w:t xml:space="preserve"> לדוגמא, במהלך חקירתה הנגדית כאשר</w:t>
      </w:r>
      <w:r w:rsidR="00F212FC">
        <w:rPr>
          <w:rFonts w:ascii="Arial" w:hAnsi="Arial" w:hint="cs"/>
          <w:noProof w:val="0"/>
          <w:rtl/>
        </w:rPr>
        <w:t xml:space="preserve"> התבקשה לפרט כיצד הגיעה לסכ</w:t>
      </w:r>
      <w:r w:rsidR="00F50F08">
        <w:rPr>
          <w:rFonts w:ascii="Arial" w:hAnsi="Arial" w:hint="cs"/>
          <w:noProof w:val="0"/>
          <w:rtl/>
        </w:rPr>
        <w:t xml:space="preserve">ומים שהיא סבורה </w:t>
      </w:r>
      <w:r w:rsidR="00F50F08" w:rsidRPr="00B33FD1">
        <w:rPr>
          <w:rFonts w:ascii="Arial" w:hAnsi="Arial" w:hint="cs"/>
          <w:noProof w:val="0"/>
          <w:rtl/>
        </w:rPr>
        <w:t xml:space="preserve">שהאיש חב לה, השיבה: </w:t>
      </w:r>
      <w:r w:rsidR="00F50F08" w:rsidRPr="00454D5D">
        <w:rPr>
          <w:rFonts w:hint="cs"/>
          <w:rtl/>
        </w:rPr>
        <w:t>"</w:t>
      </w:r>
      <w:r w:rsidR="00F50F08" w:rsidRPr="00454D5D">
        <w:rPr>
          <w:rtl/>
        </w:rPr>
        <w:t xml:space="preserve">לפי הריביות, שהוא חייב לי ריביות על זה, הצמדות, </w:t>
      </w:r>
      <w:bookmarkStart w:id="6" w:name="_ETM_Q_5405658"/>
      <w:bookmarkEnd w:id="6"/>
      <w:r w:rsidR="00F50F08" w:rsidRPr="00454D5D">
        <w:rPr>
          <w:rtl/>
        </w:rPr>
        <w:t>כל השנים של עוגמת נפש,</w:t>
      </w:r>
      <w:r w:rsidR="00F50F08" w:rsidRPr="00454D5D">
        <w:rPr>
          <w:rFonts w:hint="cs"/>
          <w:rtl/>
        </w:rPr>
        <w:t>..."</w:t>
      </w:r>
      <w:r w:rsidR="00F50F08" w:rsidRPr="00B33FD1">
        <w:rPr>
          <w:rFonts w:ascii="Arial" w:hAnsi="Arial" w:hint="cs"/>
          <w:noProof w:val="0"/>
          <w:rtl/>
        </w:rPr>
        <w:t xml:space="preserve"> (עמ' </w:t>
      </w:r>
      <w:r w:rsidR="00454D5D">
        <w:rPr>
          <w:rFonts w:ascii="Arial" w:hAnsi="Arial" w:hint="cs"/>
          <w:noProof w:val="0"/>
          <w:rtl/>
        </w:rPr>
        <w:t>65</w:t>
      </w:r>
      <w:r w:rsidR="00F50F08" w:rsidRPr="00B33FD1">
        <w:rPr>
          <w:rFonts w:ascii="Arial" w:hAnsi="Arial" w:hint="cs"/>
          <w:noProof w:val="0"/>
          <w:rtl/>
        </w:rPr>
        <w:t>, ש</w:t>
      </w:r>
      <w:r w:rsidR="00454D5D">
        <w:rPr>
          <w:rFonts w:ascii="Arial" w:hAnsi="Arial" w:hint="cs"/>
          <w:noProof w:val="0"/>
          <w:rtl/>
        </w:rPr>
        <w:t xml:space="preserve"> 5</w:t>
      </w:r>
      <w:r w:rsidR="00F50F08" w:rsidRPr="00B33FD1">
        <w:rPr>
          <w:rFonts w:ascii="Arial" w:hAnsi="Arial" w:hint="cs"/>
          <w:noProof w:val="0"/>
          <w:rtl/>
        </w:rPr>
        <w:t>).</w:t>
      </w:r>
    </w:p>
    <w:p w:rsidR="00F50F08" w:rsidRPr="00FC4165" w:rsidRDefault="00F50F08" w:rsidP="00F50F08">
      <w:pPr>
        <w:pStyle w:val="ad"/>
        <w:rPr>
          <w:rFonts w:ascii="Arial" w:hAnsi="Arial"/>
          <w:noProof w:val="0"/>
          <w:sz w:val="16"/>
          <w:szCs w:val="16"/>
          <w:rtl/>
        </w:rPr>
      </w:pPr>
    </w:p>
    <w:p w:rsidR="00F50F08" w:rsidRPr="00B33FD1" w:rsidRDefault="00F50F08" w:rsidP="00454D5D">
      <w:pPr>
        <w:pStyle w:val="ad"/>
        <w:numPr>
          <w:ilvl w:val="0"/>
          <w:numId w:val="1"/>
        </w:numPr>
        <w:spacing w:line="360" w:lineRule="auto"/>
        <w:ind w:left="567" w:hanging="567"/>
        <w:jc w:val="both"/>
        <w:rPr>
          <w:rFonts w:ascii="Arial" w:hAnsi="Arial"/>
          <w:noProof w:val="0"/>
        </w:rPr>
      </w:pPr>
      <w:r w:rsidRPr="00B33FD1">
        <w:rPr>
          <w:rFonts w:ascii="Arial" w:hAnsi="Arial" w:hint="cs"/>
          <w:noProof w:val="0"/>
          <w:rtl/>
        </w:rPr>
        <w:t xml:space="preserve">עוד במהלך חקירתה הנגדית, העידה האשה כי הייתה זו הרשמת אשר הציעה להם לגשת לרואה חשבון שיערוך תחשיב של החוב, </w:t>
      </w:r>
      <w:r w:rsidR="00B33FD1" w:rsidRPr="00B33FD1">
        <w:rPr>
          <w:rFonts w:ascii="Arial" w:hAnsi="Arial" w:hint="cs"/>
          <w:noProof w:val="0"/>
          <w:rtl/>
        </w:rPr>
        <w:t>ו- "</w:t>
      </w:r>
      <w:r w:rsidR="00B33FD1" w:rsidRPr="00454D5D">
        <w:rPr>
          <w:rtl/>
        </w:rPr>
        <w:t xml:space="preserve">אז כשיצאנו הם אמרו </w:t>
      </w:r>
      <w:bookmarkStart w:id="7" w:name="_ETM_Q_5535445"/>
      <w:bookmarkEnd w:id="7"/>
      <w:r w:rsidR="00B33FD1" w:rsidRPr="00454D5D">
        <w:rPr>
          <w:rtl/>
        </w:rPr>
        <w:t>רואה חשבון יקח לך עשרות אלפי ₪</w:t>
      </w:r>
      <w:r w:rsidR="00B33FD1" w:rsidRPr="00454D5D">
        <w:rPr>
          <w:rFonts w:hint="cs"/>
          <w:rtl/>
        </w:rPr>
        <w:t>..." (עמ'</w:t>
      </w:r>
      <w:r w:rsidR="00454D5D" w:rsidRPr="00454D5D">
        <w:rPr>
          <w:rFonts w:hint="cs"/>
          <w:rtl/>
        </w:rPr>
        <w:t xml:space="preserve"> 66, ש 21</w:t>
      </w:r>
      <w:r w:rsidR="00B33FD1" w:rsidRPr="00454D5D">
        <w:rPr>
          <w:rFonts w:hint="cs"/>
          <w:rtl/>
        </w:rPr>
        <w:t>)</w:t>
      </w:r>
      <w:r w:rsidR="00B33FD1" w:rsidRPr="00454D5D">
        <w:rPr>
          <w:rtl/>
        </w:rPr>
        <w:t>,</w:t>
      </w:r>
      <w:r w:rsidR="00B33FD1" w:rsidRPr="00454D5D">
        <w:rPr>
          <w:rFonts w:hint="cs"/>
          <w:rtl/>
        </w:rPr>
        <w:t xml:space="preserve"> ולכן הצדדים החליטו לוותר על </w:t>
      </w:r>
      <w:r w:rsidR="00B33FD1" w:rsidRPr="00B33FD1">
        <w:rPr>
          <w:rFonts w:ascii="Arial" w:hAnsi="Arial" w:hint="cs"/>
          <w:noProof w:val="0"/>
          <w:rtl/>
        </w:rPr>
        <w:t xml:space="preserve">הרעיון (שם, בהמשך). </w:t>
      </w:r>
    </w:p>
    <w:p w:rsidR="00F212FC" w:rsidRPr="00FC4165" w:rsidRDefault="00F212FC" w:rsidP="00F212FC">
      <w:pPr>
        <w:pStyle w:val="ad"/>
        <w:rPr>
          <w:rFonts w:ascii="Arial" w:hAnsi="Arial"/>
          <w:noProof w:val="0"/>
          <w:sz w:val="16"/>
          <w:szCs w:val="16"/>
          <w:rtl/>
        </w:rPr>
      </w:pPr>
    </w:p>
    <w:p w:rsidR="006363C1" w:rsidRPr="00B33FD1" w:rsidRDefault="00B33FD1" w:rsidP="00B33FD1">
      <w:pPr>
        <w:pStyle w:val="ad"/>
        <w:numPr>
          <w:ilvl w:val="0"/>
          <w:numId w:val="1"/>
        </w:numPr>
        <w:spacing w:line="360" w:lineRule="auto"/>
        <w:ind w:left="567" w:hanging="567"/>
        <w:jc w:val="both"/>
        <w:rPr>
          <w:rFonts w:ascii="Arial" w:hAnsi="Arial"/>
          <w:noProof w:val="0"/>
          <w:sz w:val="20"/>
          <w:szCs w:val="20"/>
        </w:rPr>
      </w:pPr>
      <w:r w:rsidRPr="00B33FD1">
        <w:rPr>
          <w:rFonts w:ascii="Arial" w:hAnsi="Arial" w:hint="cs"/>
          <w:noProof w:val="0"/>
          <w:rtl/>
        </w:rPr>
        <w:t>הינה כי כן, דבר לא מנע מהאשה להשיב בחיוב להצעתה של הרשמת למנות רו"ח והיא בחרה לאחר התייעצות עם ב"כ, לוותר על מינוי זה ותחת זאת ל</w:t>
      </w:r>
      <w:r>
        <w:rPr>
          <w:rFonts w:ascii="Arial" w:hAnsi="Arial" w:hint="cs"/>
          <w:noProof w:val="0"/>
          <w:rtl/>
        </w:rPr>
        <w:t xml:space="preserve">קיים </w:t>
      </w:r>
      <w:r w:rsidRPr="00B33FD1">
        <w:rPr>
          <w:rFonts w:ascii="Arial" w:hAnsi="Arial" w:hint="cs"/>
          <w:noProof w:val="0"/>
          <w:rtl/>
        </w:rPr>
        <w:t>מו"מ על הסכום</w:t>
      </w:r>
      <w:r>
        <w:rPr>
          <w:rFonts w:ascii="Arial" w:hAnsi="Arial" w:hint="cs"/>
          <w:noProof w:val="0"/>
          <w:rtl/>
        </w:rPr>
        <w:t>, כאשר ידוע כי בין הצדדים היו עניינים נוספים במחלוקת</w:t>
      </w:r>
      <w:r w:rsidRPr="00B33FD1">
        <w:rPr>
          <w:rFonts w:ascii="Arial" w:hAnsi="Arial" w:hint="cs"/>
          <w:noProof w:val="0"/>
          <w:rtl/>
        </w:rPr>
        <w:t xml:space="preserve">. </w:t>
      </w:r>
      <w:r w:rsidR="00C83FBC" w:rsidRPr="00B33FD1">
        <w:rPr>
          <w:rFonts w:ascii="Arial" w:hAnsi="Arial" w:hint="cs"/>
          <w:noProof w:val="0"/>
          <w:rtl/>
        </w:rPr>
        <w:t>בעניין זה אביא מ</w:t>
      </w:r>
      <w:r w:rsidR="006363C1" w:rsidRPr="00B33FD1">
        <w:rPr>
          <w:rFonts w:ascii="Arial" w:hAnsi="Arial"/>
          <w:noProof w:val="0"/>
          <w:rtl/>
        </w:rPr>
        <w:t>דברי המלומדים כהן ופרידמן, לאמור: "</w:t>
      </w:r>
      <w:r w:rsidR="006363C1" w:rsidRPr="00B33FD1">
        <w:rPr>
          <w:rFonts w:ascii="Arial" w:hAnsi="Arial"/>
          <w:b/>
          <w:bCs/>
          <w:noProof w:val="0"/>
          <w:rtl/>
        </w:rPr>
        <w:t>מקום שצד ער לכך שאין לו ידיעה לגבי נתון מסוים בעל חשיבות או שידיעתו היא בלתי מושלמת, והוא מחליט למרות זאת לכרות את החוזה, אין הוא זכאי להעלות טענת טעות בקשר לנתון זה, שכן הוא נטל על עצמו את הסיכון לגביו</w:t>
      </w:r>
      <w:r w:rsidR="006363C1" w:rsidRPr="00B33FD1">
        <w:rPr>
          <w:rFonts w:ascii="Arial" w:hAnsi="Arial"/>
          <w:noProof w:val="0"/>
          <w:rtl/>
        </w:rPr>
        <w:t xml:space="preserve">" (נ' כהן, ד' פרידמן, </w:t>
      </w:r>
      <w:r w:rsidR="006363C1" w:rsidRPr="00B33FD1">
        <w:rPr>
          <w:rFonts w:ascii="Arial" w:hAnsi="Arial"/>
          <w:b/>
          <w:bCs/>
          <w:noProof w:val="0"/>
          <w:rtl/>
        </w:rPr>
        <w:t>חוזים</w:t>
      </w:r>
      <w:r w:rsidR="006363C1" w:rsidRPr="00B33FD1">
        <w:rPr>
          <w:rFonts w:ascii="Arial" w:hAnsi="Arial"/>
          <w:noProof w:val="0"/>
          <w:rtl/>
        </w:rPr>
        <w:t xml:space="preserve">, עמ' 728 ועמ' 741). </w:t>
      </w:r>
      <w:r w:rsidR="00C83FBC" w:rsidRPr="00B33FD1">
        <w:rPr>
          <w:rFonts w:ascii="Arial" w:hAnsi="Arial" w:hint="cs"/>
          <w:noProof w:val="0"/>
        </w:rPr>
        <w:t xml:space="preserve"> </w:t>
      </w:r>
    </w:p>
    <w:p w:rsidR="00C83FBC" w:rsidRPr="00B33FD1" w:rsidRDefault="00C83FBC" w:rsidP="00C83FBC">
      <w:pPr>
        <w:pStyle w:val="ad"/>
        <w:rPr>
          <w:rFonts w:ascii="Arial" w:hAnsi="Arial"/>
          <w:noProof w:val="0"/>
          <w:sz w:val="16"/>
          <w:szCs w:val="16"/>
          <w:rtl/>
        </w:rPr>
      </w:pPr>
    </w:p>
    <w:p w:rsidR="00C83FBC" w:rsidRDefault="00C83FBC" w:rsidP="00FD0135">
      <w:pPr>
        <w:pStyle w:val="ad"/>
        <w:numPr>
          <w:ilvl w:val="0"/>
          <w:numId w:val="1"/>
        </w:numPr>
        <w:spacing w:line="360" w:lineRule="auto"/>
        <w:ind w:left="567" w:hanging="567"/>
        <w:jc w:val="both"/>
        <w:rPr>
          <w:rFonts w:ascii="Arial" w:hAnsi="Arial"/>
          <w:noProof w:val="0"/>
        </w:rPr>
      </w:pPr>
      <w:r w:rsidRPr="00C83FBC">
        <w:rPr>
          <w:rFonts w:ascii="Arial" w:hAnsi="Arial" w:hint="cs"/>
          <w:noProof w:val="0"/>
          <w:rtl/>
        </w:rPr>
        <w:t xml:space="preserve">נזכיר כי חרף שלל טענותיה של האשה </w:t>
      </w:r>
      <w:r w:rsidR="00FD0135">
        <w:rPr>
          <w:rFonts w:ascii="Arial" w:hAnsi="Arial" w:hint="cs"/>
          <w:noProof w:val="0"/>
          <w:rtl/>
        </w:rPr>
        <w:t>ב</w:t>
      </w:r>
      <w:r w:rsidRPr="00C83FBC">
        <w:rPr>
          <w:rFonts w:ascii="Arial" w:hAnsi="Arial" w:hint="cs"/>
          <w:noProof w:val="0"/>
          <w:rtl/>
        </w:rPr>
        <w:t xml:space="preserve">עניין הטעות ובעניין </w:t>
      </w:r>
      <w:r>
        <w:rPr>
          <w:rFonts w:ascii="Arial" w:hAnsi="Arial" w:hint="cs"/>
          <w:noProof w:val="0"/>
          <w:rtl/>
        </w:rPr>
        <w:t>הדיון וכל אשר נאמר או לא נאמר במהלכו ו/או בשיחותיה עם ב"כ מחוץ</w:t>
      </w:r>
      <w:r w:rsidR="00FD0135">
        <w:rPr>
          <w:rFonts w:ascii="Arial" w:hAnsi="Arial" w:hint="cs"/>
          <w:noProof w:val="0"/>
          <w:rtl/>
        </w:rPr>
        <w:t xml:space="preserve"> לכתלי האולם, נמנעה האשה במפגיע מלזמן את ב"כ דאז לעדות, ומחדל זה פועל לחובתה.</w:t>
      </w:r>
    </w:p>
    <w:p w:rsidR="00FD0135" w:rsidRPr="00FC4165" w:rsidRDefault="00FD0135" w:rsidP="00FD0135">
      <w:pPr>
        <w:pStyle w:val="ad"/>
        <w:rPr>
          <w:rFonts w:ascii="Arial" w:hAnsi="Arial"/>
          <w:noProof w:val="0"/>
          <w:sz w:val="16"/>
          <w:szCs w:val="16"/>
          <w:rtl/>
        </w:rPr>
      </w:pPr>
    </w:p>
    <w:p w:rsidR="006363C1" w:rsidRDefault="006363C1" w:rsidP="008C67D2">
      <w:pPr>
        <w:pStyle w:val="ad"/>
        <w:numPr>
          <w:ilvl w:val="0"/>
          <w:numId w:val="1"/>
        </w:numPr>
        <w:spacing w:line="360" w:lineRule="auto"/>
        <w:ind w:left="567" w:hanging="567"/>
        <w:jc w:val="both"/>
        <w:rPr>
          <w:rFonts w:ascii="Arial" w:hAnsi="Arial"/>
          <w:noProof w:val="0"/>
        </w:rPr>
      </w:pPr>
      <w:r w:rsidRPr="008C67D2">
        <w:rPr>
          <w:rFonts w:ascii="Arial" w:hAnsi="Arial"/>
          <w:noProof w:val="0"/>
          <w:rtl/>
        </w:rPr>
        <w:t xml:space="preserve">אשר על כן ומכל המקובץ לעיל, מצאתי לדחות טענותיה של </w:t>
      </w:r>
      <w:r w:rsidR="008C67D2">
        <w:rPr>
          <w:rFonts w:ascii="Arial" w:hAnsi="Arial" w:hint="cs"/>
          <w:noProof w:val="0"/>
          <w:rtl/>
        </w:rPr>
        <w:t xml:space="preserve">האשה </w:t>
      </w:r>
      <w:r w:rsidRPr="008C67D2">
        <w:rPr>
          <w:rFonts w:ascii="Arial" w:hAnsi="Arial"/>
          <w:noProof w:val="0"/>
          <w:rtl/>
        </w:rPr>
        <w:t xml:space="preserve">לביטול ההסכם מחמת טעות. </w:t>
      </w:r>
    </w:p>
    <w:p w:rsidR="00FC4165" w:rsidRDefault="00FC4165" w:rsidP="008C67D2">
      <w:pPr>
        <w:rPr>
          <w:rFonts w:ascii="Arial" w:hAnsi="Arial"/>
          <w:noProof w:val="0"/>
          <w:rtl/>
        </w:rPr>
      </w:pPr>
    </w:p>
    <w:p w:rsidR="00FC4165" w:rsidRDefault="00FC4165" w:rsidP="008C67D2">
      <w:pPr>
        <w:rPr>
          <w:rFonts w:ascii="Arial" w:hAnsi="Arial"/>
          <w:noProof w:val="0"/>
          <w:rtl/>
        </w:rPr>
      </w:pPr>
    </w:p>
    <w:p w:rsidR="00FC4165" w:rsidRDefault="00FC4165" w:rsidP="008C67D2">
      <w:pPr>
        <w:rPr>
          <w:rFonts w:ascii="Arial" w:hAnsi="Arial"/>
          <w:noProof w:val="0"/>
          <w:rtl/>
        </w:rPr>
      </w:pPr>
    </w:p>
    <w:p w:rsidR="00FC4165" w:rsidRDefault="00FC4165" w:rsidP="008C67D2">
      <w:pPr>
        <w:rPr>
          <w:rFonts w:ascii="Arial" w:hAnsi="Arial"/>
          <w:noProof w:val="0"/>
          <w:rtl/>
        </w:rPr>
      </w:pPr>
    </w:p>
    <w:p w:rsidR="00FC4165" w:rsidRDefault="00FC4165" w:rsidP="008C67D2">
      <w:pPr>
        <w:rPr>
          <w:rFonts w:ascii="Arial" w:hAnsi="Arial"/>
          <w:noProof w:val="0"/>
          <w:rtl/>
        </w:rPr>
      </w:pPr>
    </w:p>
    <w:p w:rsidR="00FC4165" w:rsidRDefault="00FC4165" w:rsidP="008C67D2">
      <w:pPr>
        <w:rPr>
          <w:rFonts w:ascii="Arial" w:hAnsi="Arial"/>
          <w:noProof w:val="0"/>
          <w:rtl/>
        </w:rPr>
      </w:pPr>
    </w:p>
    <w:p w:rsidR="00FC4165" w:rsidRDefault="00FC4165" w:rsidP="008C67D2">
      <w:pPr>
        <w:rPr>
          <w:rFonts w:ascii="Arial" w:hAnsi="Arial"/>
          <w:noProof w:val="0"/>
          <w:rtl/>
        </w:rPr>
      </w:pPr>
    </w:p>
    <w:p w:rsidR="00FC4165" w:rsidRDefault="008C67D2" w:rsidP="00FC4165">
      <w:pPr>
        <w:rPr>
          <w:rFonts w:ascii="Arial" w:hAnsi="Arial"/>
          <w:b/>
          <w:bCs/>
          <w:noProof w:val="0"/>
          <w:rtl/>
        </w:rPr>
      </w:pPr>
      <w:r w:rsidRPr="00670A3C">
        <w:rPr>
          <w:rFonts w:ascii="Arial" w:hAnsi="Arial" w:hint="cs"/>
          <w:b/>
          <w:bCs/>
          <w:noProof w:val="0"/>
          <w:rtl/>
        </w:rPr>
        <w:lastRenderedPageBreak/>
        <w:t>ג.2.2. - ההסכם נעדר את הסכמת הנאמן:</w:t>
      </w:r>
    </w:p>
    <w:p w:rsidR="00FC4165" w:rsidRPr="00FC4165" w:rsidRDefault="00FC4165" w:rsidP="00FC4165">
      <w:pPr>
        <w:rPr>
          <w:rFonts w:ascii="Arial" w:hAnsi="Arial"/>
          <w:b/>
          <w:bCs/>
          <w:noProof w:val="0"/>
          <w:sz w:val="16"/>
          <w:szCs w:val="16"/>
          <w:rtl/>
        </w:rPr>
      </w:pPr>
    </w:p>
    <w:p w:rsidR="008C67D2" w:rsidRDefault="008C67D2" w:rsidP="008C67D2">
      <w:pPr>
        <w:pStyle w:val="ad"/>
        <w:numPr>
          <w:ilvl w:val="0"/>
          <w:numId w:val="1"/>
        </w:numPr>
        <w:spacing w:line="360" w:lineRule="auto"/>
        <w:ind w:left="567" w:hanging="567"/>
        <w:jc w:val="both"/>
        <w:rPr>
          <w:rFonts w:ascii="Arial" w:hAnsi="Arial"/>
          <w:noProof w:val="0"/>
        </w:rPr>
      </w:pPr>
      <w:r>
        <w:rPr>
          <w:rFonts w:ascii="Arial" w:hAnsi="Arial" w:hint="cs"/>
          <w:noProof w:val="0"/>
          <w:rtl/>
        </w:rPr>
        <w:t>לטענת האשה, מאחר ובמועד גיבוש ההסכם בלשכת ההוצאה לפועל מונה נאמן על נכסיה במסגרת הליכי פשיטת רגל ומאחר והסכמתו להסכם הפשרה לא ניתנה, הרי שיש להורות על ביטול ההסכם.</w:t>
      </w:r>
    </w:p>
    <w:p w:rsidR="00745652" w:rsidRPr="00FC4165" w:rsidRDefault="00745652" w:rsidP="00745652">
      <w:pPr>
        <w:pStyle w:val="ad"/>
        <w:spacing w:line="360" w:lineRule="auto"/>
        <w:ind w:left="567"/>
        <w:jc w:val="both"/>
        <w:rPr>
          <w:rFonts w:ascii="Arial" w:hAnsi="Arial"/>
          <w:noProof w:val="0"/>
        </w:rPr>
      </w:pPr>
    </w:p>
    <w:p w:rsidR="000D0AB2" w:rsidRPr="00FC4165" w:rsidRDefault="008C67D2" w:rsidP="00FC4165">
      <w:pPr>
        <w:pStyle w:val="ad"/>
        <w:numPr>
          <w:ilvl w:val="0"/>
          <w:numId w:val="1"/>
        </w:numPr>
        <w:spacing w:line="360" w:lineRule="auto"/>
        <w:ind w:left="567" w:hanging="567"/>
        <w:jc w:val="both"/>
        <w:rPr>
          <w:rFonts w:ascii="Arial" w:hAnsi="Arial"/>
          <w:noProof w:val="0"/>
        </w:rPr>
      </w:pPr>
      <w:r>
        <w:rPr>
          <w:rFonts w:ascii="Arial" w:hAnsi="Arial" w:hint="cs"/>
          <w:noProof w:val="0"/>
          <w:rtl/>
        </w:rPr>
        <w:t>בעניין זה ביקשתי וקיבלתי עדכונים מאת הנאמן</w:t>
      </w:r>
      <w:r w:rsidR="00745652">
        <w:rPr>
          <w:rFonts w:ascii="Arial" w:hAnsi="Arial" w:hint="cs"/>
          <w:noProof w:val="0"/>
          <w:rtl/>
        </w:rPr>
        <w:t xml:space="preserve"> וביום 9.11.23 הסיר הנאמן את הלוט מעל התנהלותה ארוכת השנים של האשה במסגרת הליכי פשיטת הרגל שהחלו בשנת 2008, לאמור: </w:t>
      </w:r>
      <w:r w:rsidR="00745652" w:rsidRPr="00745652">
        <w:rPr>
          <w:rFonts w:ascii="Arial" w:hAnsi="Arial" w:hint="cs"/>
          <w:b/>
          <w:bCs/>
          <w:noProof w:val="0"/>
          <w:rtl/>
        </w:rPr>
        <w:t xml:space="preserve">"במרוצת 15 השנים הללו </w:t>
      </w:r>
      <w:r w:rsidR="00745652" w:rsidRPr="00745652">
        <w:rPr>
          <w:rFonts w:ascii="Arial" w:hAnsi="Arial" w:hint="cs"/>
          <w:b/>
          <w:bCs/>
          <w:noProof w:val="0"/>
          <w:u w:val="single"/>
          <w:rtl/>
        </w:rPr>
        <w:t>נמנעה החייבת מלקיים את חובותיה</w:t>
      </w:r>
      <w:r w:rsidR="00745652" w:rsidRPr="00745652">
        <w:rPr>
          <w:rFonts w:ascii="Arial" w:hAnsi="Arial" w:hint="cs"/>
          <w:b/>
          <w:bCs/>
          <w:noProof w:val="0"/>
          <w:rtl/>
        </w:rPr>
        <w:t xml:space="preserve"> בהליך הגם שאלו חובות בסיסיים... לא מן הנמנע להזכיר כי </w:t>
      </w:r>
      <w:r w:rsidR="00745652" w:rsidRPr="00745652">
        <w:rPr>
          <w:rFonts w:ascii="Arial" w:hAnsi="Arial" w:hint="cs"/>
          <w:b/>
          <w:bCs/>
          <w:noProof w:val="0"/>
          <w:u w:val="single"/>
          <w:rtl/>
        </w:rPr>
        <w:t>החייבת הסתירה את זכויותיה בנכס</w:t>
      </w:r>
      <w:r w:rsidR="00745652" w:rsidRPr="00745652">
        <w:rPr>
          <w:rFonts w:ascii="Arial" w:hAnsi="Arial" w:hint="cs"/>
          <w:b/>
          <w:bCs/>
          <w:noProof w:val="0"/>
          <w:rtl/>
        </w:rPr>
        <w:t xml:space="preserve">... החייבת </w:t>
      </w:r>
      <w:r w:rsidR="00745652" w:rsidRPr="000D0AB2">
        <w:rPr>
          <w:rFonts w:ascii="Arial" w:hAnsi="Arial" w:hint="cs"/>
          <w:b/>
          <w:bCs/>
          <w:noProof w:val="0"/>
          <w:u w:val="single"/>
          <w:rtl/>
        </w:rPr>
        <w:t>אינה משלמת את צו התשלומים</w:t>
      </w:r>
      <w:r w:rsidR="00745652" w:rsidRPr="00745652">
        <w:rPr>
          <w:rFonts w:ascii="Arial" w:hAnsi="Arial" w:hint="cs"/>
          <w:b/>
          <w:bCs/>
          <w:noProof w:val="0"/>
          <w:rtl/>
        </w:rPr>
        <w:t xml:space="preserve"> המינימאלי(!!) שנקבע בעניינה... (החייבת) פנתה לכל נושיה באופן פרטני ו</w:t>
      </w:r>
      <w:r w:rsidR="000D0AB2">
        <w:rPr>
          <w:rFonts w:ascii="Arial" w:hAnsi="Arial" w:hint="cs"/>
          <w:b/>
          <w:bCs/>
          <w:noProof w:val="0"/>
          <w:rtl/>
        </w:rPr>
        <w:t>ה</w:t>
      </w:r>
      <w:r w:rsidR="00745652" w:rsidRPr="00745652">
        <w:rPr>
          <w:rFonts w:ascii="Arial" w:hAnsi="Arial" w:hint="cs"/>
          <w:b/>
          <w:bCs/>
          <w:noProof w:val="0"/>
          <w:rtl/>
        </w:rPr>
        <w:t xml:space="preserve">ציעה הסדרים פרטניים </w:t>
      </w:r>
      <w:r w:rsidR="00745652" w:rsidRPr="000D0AB2">
        <w:rPr>
          <w:rFonts w:ascii="Arial" w:hAnsi="Arial" w:hint="cs"/>
          <w:b/>
          <w:bCs/>
          <w:noProof w:val="0"/>
          <w:u w:val="single"/>
          <w:rtl/>
        </w:rPr>
        <w:t>מאחורי גבו של הנאמן ובלא אישור בית המשפט</w:t>
      </w:r>
      <w:r w:rsidR="00745652" w:rsidRPr="00745652">
        <w:rPr>
          <w:rFonts w:ascii="Arial" w:hAnsi="Arial" w:hint="cs"/>
          <w:b/>
          <w:bCs/>
          <w:noProof w:val="0"/>
          <w:rtl/>
        </w:rPr>
        <w:t xml:space="preserve"> הנכבד, חרף התראות שניתנו בעניין... </w:t>
      </w:r>
      <w:r w:rsidR="00745652" w:rsidRPr="000D0AB2">
        <w:rPr>
          <w:rFonts w:ascii="Arial" w:hAnsi="Arial" w:hint="cs"/>
          <w:b/>
          <w:bCs/>
          <w:noProof w:val="0"/>
          <w:u w:val="single"/>
          <w:rtl/>
        </w:rPr>
        <w:t>החייבת חסרת תום לב למן ראשית ההליך</w:t>
      </w:r>
      <w:r w:rsidR="00745652" w:rsidRPr="00745652">
        <w:rPr>
          <w:rFonts w:ascii="Arial" w:hAnsi="Arial" w:hint="cs"/>
          <w:b/>
          <w:bCs/>
          <w:noProof w:val="0"/>
          <w:rtl/>
        </w:rPr>
        <w:t>... מרגע שביקשה החייבת לנהל הליך זה, היא לא רשאית לעשות בעליך זה כ- "תוכנית כבקשתה"..."</w:t>
      </w:r>
      <w:r w:rsidR="00745652">
        <w:rPr>
          <w:rFonts w:ascii="Arial" w:hAnsi="Arial" w:hint="cs"/>
          <w:noProof w:val="0"/>
          <w:rtl/>
        </w:rPr>
        <w:t xml:space="preserve"> (הדגשות לא במקור)</w:t>
      </w:r>
      <w:r w:rsidR="000D0AB2">
        <w:rPr>
          <w:rFonts w:ascii="Arial" w:hAnsi="Arial" w:hint="cs"/>
          <w:noProof w:val="0"/>
          <w:rtl/>
        </w:rPr>
        <w:t>.</w:t>
      </w:r>
      <w:r w:rsidR="00FC4165">
        <w:rPr>
          <w:rFonts w:ascii="Arial" w:hAnsi="Arial" w:hint="cs"/>
          <w:noProof w:val="0"/>
          <w:rtl/>
        </w:rPr>
        <w:t xml:space="preserve"> </w:t>
      </w:r>
      <w:r w:rsidR="000D0AB2" w:rsidRPr="00FC4165">
        <w:rPr>
          <w:rFonts w:ascii="Arial" w:hAnsi="Arial" w:hint="cs"/>
          <w:noProof w:val="0"/>
          <w:rtl/>
        </w:rPr>
        <w:t xml:space="preserve">עוד ובנוסף, הודיע הנאמן כי כלל חובותיה של האשה עומדים על כ 66,000 ₪ וזו, באמצעות ב"כ, אישרה את הדברים. </w:t>
      </w:r>
    </w:p>
    <w:p w:rsidR="000D0AB2" w:rsidRPr="00A4470E" w:rsidRDefault="000D0AB2" w:rsidP="000D0AB2">
      <w:pPr>
        <w:pStyle w:val="ad"/>
        <w:rPr>
          <w:rFonts w:ascii="Arial" w:hAnsi="Arial"/>
          <w:noProof w:val="0"/>
          <w:sz w:val="16"/>
          <w:szCs w:val="16"/>
          <w:rtl/>
        </w:rPr>
      </w:pPr>
    </w:p>
    <w:p w:rsidR="000D0AB2" w:rsidRDefault="00F34805" w:rsidP="00404AFF">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תחת נסיבות אלה, אני סבור כי עצם העלאת הטענה מלמדת על </w:t>
      </w:r>
      <w:r w:rsidR="00404AFF">
        <w:rPr>
          <w:rFonts w:ascii="Arial" w:hAnsi="Arial" w:hint="cs"/>
          <w:noProof w:val="0"/>
          <w:rtl/>
        </w:rPr>
        <w:t>חוסר תום לב קיצוני</w:t>
      </w:r>
      <w:r>
        <w:rPr>
          <w:rFonts w:ascii="Arial" w:hAnsi="Arial" w:hint="cs"/>
          <w:noProof w:val="0"/>
          <w:rtl/>
        </w:rPr>
        <w:t>. האשה, אשר מתוך דבריו אלו של הנאמן הוכיחה באותות ובמופתים כי תום לב היה ממנה והלאה</w:t>
      </w:r>
      <w:r w:rsidR="00404AFF">
        <w:rPr>
          <w:rFonts w:ascii="Arial" w:hAnsi="Arial" w:hint="cs"/>
          <w:noProof w:val="0"/>
          <w:rtl/>
        </w:rPr>
        <w:t xml:space="preserve">, אשר מתחילת הליכי פשיטת הרגל התעלמה מקיומו של הנאמן, בין במעשים ובין במחדלים שאף אחד מהם לא מתכתב עם הדין, סבורה כי יש להאיר על תפקידו של הנאמן לראשונה לאחר 15 שנים של עלטה מוחלטת.  </w:t>
      </w:r>
    </w:p>
    <w:p w:rsidR="00404AFF" w:rsidRPr="00A4470E" w:rsidRDefault="00404AFF" w:rsidP="00404AFF">
      <w:pPr>
        <w:pStyle w:val="ad"/>
        <w:rPr>
          <w:rFonts w:ascii="Arial" w:hAnsi="Arial"/>
          <w:noProof w:val="0"/>
          <w:sz w:val="16"/>
          <w:szCs w:val="16"/>
          <w:rtl/>
        </w:rPr>
      </w:pPr>
    </w:p>
    <w:p w:rsidR="00404AFF" w:rsidRPr="00A4470E" w:rsidRDefault="00404AFF" w:rsidP="00A4470E">
      <w:pPr>
        <w:pStyle w:val="ad"/>
        <w:numPr>
          <w:ilvl w:val="0"/>
          <w:numId w:val="1"/>
        </w:numPr>
        <w:spacing w:line="360" w:lineRule="auto"/>
        <w:ind w:left="567" w:hanging="567"/>
        <w:jc w:val="both"/>
        <w:rPr>
          <w:rFonts w:ascii="Arial" w:hAnsi="Arial"/>
          <w:noProof w:val="0"/>
        </w:rPr>
      </w:pPr>
      <w:r w:rsidRPr="00404AFF">
        <w:rPr>
          <w:rFonts w:ascii="Arial" w:hAnsi="Arial" w:hint="cs"/>
          <w:noProof w:val="0"/>
          <w:rtl/>
        </w:rPr>
        <w:t xml:space="preserve">בע"א 3631/21 </w:t>
      </w:r>
      <w:r w:rsidRPr="00404AFF">
        <w:rPr>
          <w:rFonts w:ascii="David" w:hAnsi="David"/>
          <w:bCs/>
          <w:rtl/>
        </w:rPr>
        <w:t>שר נ' כונס הנכסים הרשמי תל אביב</w:t>
      </w:r>
      <w:r w:rsidRPr="00404AFF">
        <w:rPr>
          <w:rFonts w:ascii="David" w:hAnsi="David"/>
          <w:rtl/>
        </w:rPr>
        <w:t xml:space="preserve"> </w:t>
      </w:r>
      <w:r>
        <w:rPr>
          <w:rFonts w:ascii="David" w:hAnsi="David" w:hint="cs"/>
          <w:rtl/>
        </w:rPr>
        <w:t xml:space="preserve">(נבו, </w:t>
      </w:r>
      <w:r w:rsidRPr="00404AFF">
        <w:rPr>
          <w:rFonts w:ascii="David" w:hAnsi="David"/>
          <w:rtl/>
        </w:rPr>
        <w:t>7.12.2021)</w:t>
      </w:r>
      <w:r>
        <w:rPr>
          <w:rFonts w:ascii="David" w:hAnsi="David" w:hint="cs"/>
          <w:rtl/>
        </w:rPr>
        <w:t xml:space="preserve"> התייחס בית המשפט העליון לחובת תום הלב של החייב, לאמור</w:t>
      </w:r>
      <w:r w:rsidRPr="00404AFF">
        <w:rPr>
          <w:rFonts w:ascii="David" w:hAnsi="David"/>
          <w:rtl/>
        </w:rPr>
        <w:t xml:space="preserve">:  </w:t>
      </w:r>
      <w:r w:rsidRPr="00404AFF">
        <w:rPr>
          <w:rFonts w:ascii="David" w:hAnsi="David"/>
          <w:b/>
          <w:bCs/>
          <w:rtl/>
        </w:rPr>
        <w:t>"[...] אין החייב 'פטוּר' מלנהוג בתום לב במסגרת הליך שנפתח לבקשת נושיו. זאת, שכן מקום בו נהג החייב בחוסר תום לב במסגרת ההליך, הדבר יעמוד לו לרועץ</w:t>
      </w:r>
      <w:r w:rsidR="00A4470E">
        <w:rPr>
          <w:rFonts w:ascii="David" w:hAnsi="David" w:hint="cs"/>
          <w:b/>
          <w:bCs/>
          <w:rtl/>
        </w:rPr>
        <w:t xml:space="preserve">... </w:t>
      </w:r>
      <w:r w:rsidRPr="00404AFF">
        <w:rPr>
          <w:rFonts w:ascii="David" w:hAnsi="David"/>
          <w:b/>
          <w:bCs/>
          <w:rtl/>
        </w:rPr>
        <w:t>במצבים אלה, בהם מבקש החייב ליהנות מהיתרונות הגלומים בהליכי פשיטת הרגל אף שהם לא נפתחו לבקשתו, שוב מתעוררת התכלית שביסוד הטלת חובת תום הלב על החייב – ש'לא יהא חוטא נשכר'. כאמור, אין כל הצדקה להושיט יד לחייב שהתנהל במסגרת ההליך בחוסר תום לב</w:t>
      </w:r>
      <w:r w:rsidR="00A4470E">
        <w:rPr>
          <w:rFonts w:ascii="David" w:hAnsi="David" w:hint="cs"/>
          <w:b/>
          <w:bCs/>
          <w:rtl/>
        </w:rPr>
        <w:t>...</w:t>
      </w:r>
      <w:r w:rsidRPr="00404AFF">
        <w:rPr>
          <w:rFonts w:ascii="David" w:hAnsi="David"/>
          <w:rtl/>
        </w:rPr>
        <w:t xml:space="preserve"> (שם, פסקה 17</w:t>
      </w:r>
      <w:r w:rsidR="00A4470E">
        <w:rPr>
          <w:rFonts w:ascii="David" w:hAnsi="David" w:hint="cs"/>
          <w:rtl/>
        </w:rPr>
        <w:t xml:space="preserve">; </w:t>
      </w:r>
      <w:r w:rsidRPr="00A4470E">
        <w:rPr>
          <w:rFonts w:ascii="David" w:hAnsi="David"/>
          <w:rtl/>
        </w:rPr>
        <w:t>וראה גם</w:t>
      </w:r>
      <w:r w:rsidR="00A4470E">
        <w:rPr>
          <w:rFonts w:ascii="David" w:hAnsi="David" w:hint="cs"/>
          <w:rtl/>
        </w:rPr>
        <w:t xml:space="preserve"> פסק דין שניתן ממש לאחרונה ב</w:t>
      </w:r>
      <w:r w:rsidRPr="00A4470E">
        <w:rPr>
          <w:rFonts w:ascii="David" w:hAnsi="David"/>
          <w:rtl/>
        </w:rPr>
        <w:t xml:space="preserve">ע"א 4401/21 </w:t>
      </w:r>
      <w:r w:rsidRPr="00A4470E">
        <w:rPr>
          <w:rFonts w:ascii="David" w:hAnsi="David"/>
          <w:b/>
          <w:bCs/>
          <w:rtl/>
        </w:rPr>
        <w:t>יהודה אמיתי נ' רחל קרויז</w:t>
      </w:r>
      <w:r w:rsidRPr="00A4470E">
        <w:rPr>
          <w:rFonts w:ascii="David" w:hAnsi="David"/>
          <w:rtl/>
        </w:rPr>
        <w:t xml:space="preserve"> (נבו, 15.11.23)</w:t>
      </w:r>
      <w:r w:rsidR="00A4470E">
        <w:rPr>
          <w:rFonts w:ascii="David" w:hAnsi="David" w:hint="cs"/>
          <w:rtl/>
        </w:rPr>
        <w:t>).</w:t>
      </w:r>
    </w:p>
    <w:p w:rsidR="00A4470E" w:rsidRPr="00A4470E" w:rsidRDefault="00A4470E" w:rsidP="00A4470E">
      <w:pPr>
        <w:pStyle w:val="ad"/>
        <w:rPr>
          <w:rFonts w:ascii="Arial" w:hAnsi="Arial"/>
          <w:noProof w:val="0"/>
          <w:sz w:val="16"/>
          <w:szCs w:val="16"/>
          <w:rtl/>
        </w:rPr>
      </w:pPr>
    </w:p>
    <w:p w:rsidR="00352B6A" w:rsidRDefault="00A4470E" w:rsidP="00672A61">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תחת נסיבות אלה, אני סבור כי האשה מושתקת מלטעון דבר ורבע דבר באשר לאי ידיעתו ו/או לאי אישורו של הנאמן עובר לגיבוש ההסכם. דבר לא מנע מהאשה לדווח לנאמן על אודות ההסכם, דבר לא מנע ממנה לשתף אותו </w:t>
      </w:r>
      <w:r>
        <w:rPr>
          <w:rFonts w:ascii="Arial" w:hAnsi="Arial"/>
          <w:noProof w:val="0"/>
          <w:rtl/>
        </w:rPr>
        <w:t>–</w:t>
      </w:r>
      <w:r>
        <w:rPr>
          <w:rFonts w:ascii="Arial" w:hAnsi="Arial" w:hint="cs"/>
          <w:noProof w:val="0"/>
          <w:rtl/>
        </w:rPr>
        <w:t xml:space="preserve"> לראשונה </w:t>
      </w:r>
      <w:r>
        <w:rPr>
          <w:rFonts w:ascii="Arial" w:hAnsi="Arial"/>
          <w:noProof w:val="0"/>
          <w:rtl/>
        </w:rPr>
        <w:t>–</w:t>
      </w:r>
      <w:r>
        <w:rPr>
          <w:rFonts w:ascii="Arial" w:hAnsi="Arial" w:hint="cs"/>
          <w:noProof w:val="0"/>
          <w:rtl/>
        </w:rPr>
        <w:t xml:space="preserve"> באיזה עניין מענייני חובותיה ו/או זכויותיה, דבר לא מנע ממנה לדווח לבית המשפט של פשיטת רגל בזמן אמת, ואת כל זאת היא בחרה במודע, מתוך קו התנהלות ברור ועקבי</w:t>
      </w:r>
      <w:r w:rsidR="008C1714">
        <w:rPr>
          <w:rFonts w:ascii="Arial" w:hAnsi="Arial" w:hint="cs"/>
          <w:noProof w:val="0"/>
          <w:rtl/>
        </w:rPr>
        <w:t>,</w:t>
      </w:r>
      <w:r>
        <w:rPr>
          <w:rFonts w:ascii="Arial" w:hAnsi="Arial" w:hint="cs"/>
          <w:noProof w:val="0"/>
          <w:rtl/>
        </w:rPr>
        <w:t xml:space="preserve"> ל</w:t>
      </w:r>
      <w:r w:rsidR="00672A61">
        <w:rPr>
          <w:rFonts w:ascii="Arial" w:hAnsi="Arial" w:hint="cs"/>
          <w:noProof w:val="0"/>
          <w:rtl/>
        </w:rPr>
        <w:t>התעלם מקיומו של הנאמן, וכיוון שכך, אין זה סביר בעיני כלל ועיקר להושיט</w:t>
      </w:r>
      <w:r w:rsidR="00352B6A">
        <w:rPr>
          <w:rFonts w:ascii="Arial" w:hAnsi="Arial" w:hint="cs"/>
          <w:noProof w:val="0"/>
          <w:rtl/>
        </w:rPr>
        <w:t xml:space="preserve"> לה סעד בעניין זה.</w:t>
      </w:r>
    </w:p>
    <w:p w:rsidR="00352B6A" w:rsidRPr="00352B6A" w:rsidRDefault="00352B6A" w:rsidP="00352B6A">
      <w:pPr>
        <w:pStyle w:val="ad"/>
        <w:rPr>
          <w:rFonts w:ascii="Arial" w:hAnsi="Arial"/>
          <w:noProof w:val="0"/>
          <w:sz w:val="16"/>
          <w:szCs w:val="16"/>
          <w:rtl/>
        </w:rPr>
      </w:pPr>
    </w:p>
    <w:p w:rsidR="00A4470E" w:rsidRDefault="00352B6A" w:rsidP="00352B6A">
      <w:pPr>
        <w:pStyle w:val="ad"/>
        <w:numPr>
          <w:ilvl w:val="0"/>
          <w:numId w:val="1"/>
        </w:numPr>
        <w:spacing w:line="360" w:lineRule="auto"/>
        <w:ind w:left="567" w:hanging="567"/>
        <w:jc w:val="both"/>
        <w:rPr>
          <w:rFonts w:ascii="Arial" w:hAnsi="Arial"/>
          <w:noProof w:val="0"/>
        </w:rPr>
      </w:pPr>
      <w:r>
        <w:rPr>
          <w:rFonts w:ascii="Arial" w:hAnsi="Arial" w:hint="cs"/>
          <w:noProof w:val="0"/>
          <w:rtl/>
        </w:rPr>
        <w:lastRenderedPageBreak/>
        <w:t xml:space="preserve">מעבר לצורך אציין כי הנאמן, חרף שידע על ההליך שבפני, לא ביקש להצטרף לטענותיה בעניין ההליך שבפני, לא כל שכן לנוכח הסכום הנמוך יחסית שרובץ עליה (כ 66,000 ₪). </w:t>
      </w:r>
    </w:p>
    <w:p w:rsidR="00352B6A" w:rsidRPr="00352B6A" w:rsidRDefault="00352B6A" w:rsidP="00352B6A">
      <w:pPr>
        <w:pStyle w:val="ad"/>
        <w:rPr>
          <w:rFonts w:ascii="Arial" w:hAnsi="Arial"/>
          <w:noProof w:val="0"/>
          <w:sz w:val="16"/>
          <w:szCs w:val="16"/>
          <w:rtl/>
        </w:rPr>
      </w:pPr>
    </w:p>
    <w:p w:rsidR="00352B6A" w:rsidRDefault="00352B6A" w:rsidP="00352B6A">
      <w:pPr>
        <w:pStyle w:val="ad"/>
        <w:numPr>
          <w:ilvl w:val="0"/>
          <w:numId w:val="1"/>
        </w:numPr>
        <w:spacing w:line="360" w:lineRule="auto"/>
        <w:ind w:left="567" w:hanging="567"/>
        <w:jc w:val="both"/>
        <w:rPr>
          <w:rFonts w:ascii="Arial" w:hAnsi="Arial"/>
          <w:noProof w:val="0"/>
        </w:rPr>
      </w:pPr>
      <w:r>
        <w:rPr>
          <w:rFonts w:ascii="Arial" w:hAnsi="Arial" w:hint="cs"/>
          <w:noProof w:val="0"/>
          <w:rtl/>
        </w:rPr>
        <w:t>אשר על כן, אני מוצא לדחות את הטענה.</w:t>
      </w:r>
    </w:p>
    <w:p w:rsidR="00FC4165" w:rsidRPr="00FC4165" w:rsidRDefault="00FC4165" w:rsidP="00FC4165">
      <w:pPr>
        <w:pStyle w:val="ad"/>
        <w:spacing w:line="360" w:lineRule="auto"/>
        <w:ind w:left="567"/>
        <w:jc w:val="both"/>
        <w:rPr>
          <w:rFonts w:ascii="Arial" w:hAnsi="Arial"/>
          <w:noProof w:val="0"/>
          <w:sz w:val="16"/>
          <w:szCs w:val="16"/>
        </w:rPr>
      </w:pPr>
    </w:p>
    <w:p w:rsidR="00714A79" w:rsidRPr="00670A3C" w:rsidRDefault="00714A79" w:rsidP="00714A79">
      <w:pPr>
        <w:rPr>
          <w:rFonts w:ascii="Arial" w:hAnsi="Arial"/>
          <w:b/>
          <w:bCs/>
          <w:noProof w:val="0"/>
          <w:rtl/>
        </w:rPr>
      </w:pPr>
      <w:r w:rsidRPr="00670A3C">
        <w:rPr>
          <w:rFonts w:ascii="Arial" w:hAnsi="Arial" w:hint="cs"/>
          <w:b/>
          <w:bCs/>
          <w:noProof w:val="0"/>
          <w:rtl/>
        </w:rPr>
        <w:t xml:space="preserve">ג.3.2. </w:t>
      </w:r>
      <w:r w:rsidRPr="00670A3C">
        <w:rPr>
          <w:rFonts w:ascii="Arial" w:hAnsi="Arial"/>
          <w:b/>
          <w:bCs/>
          <w:noProof w:val="0"/>
          <w:rtl/>
        </w:rPr>
        <w:t>–</w:t>
      </w:r>
      <w:r w:rsidRPr="00670A3C">
        <w:rPr>
          <w:rFonts w:ascii="Arial" w:hAnsi="Arial" w:hint="cs"/>
          <w:b/>
          <w:bCs/>
          <w:noProof w:val="0"/>
          <w:rtl/>
        </w:rPr>
        <w:t xml:space="preserve"> מצבה הנפשי של האשה במעמד גיבוש ההסכם:</w:t>
      </w:r>
    </w:p>
    <w:p w:rsidR="00714A79" w:rsidRPr="0009530F" w:rsidRDefault="00714A79" w:rsidP="00714A79">
      <w:pPr>
        <w:spacing w:line="360" w:lineRule="auto"/>
        <w:jc w:val="both"/>
        <w:rPr>
          <w:rFonts w:ascii="Arial" w:hAnsi="Arial"/>
          <w:noProof w:val="0"/>
          <w:sz w:val="16"/>
          <w:szCs w:val="16"/>
          <w:rtl/>
        </w:rPr>
      </w:pPr>
    </w:p>
    <w:p w:rsidR="00404AFF" w:rsidRDefault="00702275" w:rsidP="00537B85">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לטענת האשה, מצבה הנפשי ביום גיבוש ההסכם (8.6.21) הסכם לא היה יציב. בתמיכה </w:t>
      </w:r>
      <w:r w:rsidR="00670A3C">
        <w:rPr>
          <w:rFonts w:ascii="Arial" w:hAnsi="Arial" w:hint="cs"/>
          <w:noProof w:val="0"/>
          <w:rtl/>
        </w:rPr>
        <w:t>צי</w:t>
      </w:r>
      <w:r w:rsidR="00537B85">
        <w:rPr>
          <w:rFonts w:ascii="Arial" w:hAnsi="Arial" w:hint="cs"/>
          <w:noProof w:val="0"/>
          <w:rtl/>
        </w:rPr>
        <w:t>רפ</w:t>
      </w:r>
      <w:r w:rsidR="00670A3C">
        <w:rPr>
          <w:rFonts w:ascii="Arial" w:hAnsi="Arial" w:hint="cs"/>
          <w:noProof w:val="0"/>
          <w:rtl/>
        </w:rPr>
        <w:t>ה האשה מסמכים רפואיים מהימים: 14.8.13 (כשמונה שנים טרם ההסכם); 14.1.18 (</w:t>
      </w:r>
      <w:r w:rsidR="00537B85">
        <w:rPr>
          <w:rFonts w:ascii="Arial" w:hAnsi="Arial" w:hint="cs"/>
          <w:noProof w:val="0"/>
          <w:rtl/>
        </w:rPr>
        <w:t>כ</w:t>
      </w:r>
      <w:r w:rsidR="00670A3C">
        <w:rPr>
          <w:rFonts w:ascii="Arial" w:hAnsi="Arial" w:hint="cs"/>
          <w:noProof w:val="0"/>
          <w:rtl/>
        </w:rPr>
        <w:t xml:space="preserve">שלוש שנים טרם ההסכם); 1.11.20 (כחצי שנה טרם ההסכם); 13.7.21 (כחודש לאחר ההסכם); 3.8.21 (כחודשיים </w:t>
      </w:r>
      <w:r w:rsidR="0009530F">
        <w:rPr>
          <w:rFonts w:ascii="Arial" w:hAnsi="Arial" w:hint="cs"/>
          <w:noProof w:val="0"/>
          <w:rtl/>
        </w:rPr>
        <w:t>לאחר ההסכם). בכל הכבוד, תחת נסיבות אלה, לא מצאתי כל משקל משמעותי לטענתה של האשה, לא כל שכן כאשר היא נמנעה מלבקש למנות מומחה מטעם בית המשפט כדי לבחון האם מצבה הנטען אכן מנע ממנה להבין את ההסכם ואת תוצאותיו.</w:t>
      </w:r>
    </w:p>
    <w:p w:rsidR="0009530F" w:rsidRPr="00FC4165" w:rsidRDefault="0009530F" w:rsidP="0009530F">
      <w:pPr>
        <w:pStyle w:val="ad"/>
        <w:spacing w:line="360" w:lineRule="auto"/>
        <w:ind w:left="567"/>
        <w:jc w:val="both"/>
        <w:rPr>
          <w:rFonts w:ascii="Arial" w:hAnsi="Arial"/>
          <w:noProof w:val="0"/>
          <w:sz w:val="16"/>
          <w:szCs w:val="16"/>
        </w:rPr>
      </w:pPr>
    </w:p>
    <w:p w:rsidR="0009530F" w:rsidRDefault="0009530F" w:rsidP="00702275">
      <w:pPr>
        <w:pStyle w:val="ad"/>
        <w:numPr>
          <w:ilvl w:val="0"/>
          <w:numId w:val="1"/>
        </w:numPr>
        <w:spacing w:line="360" w:lineRule="auto"/>
        <w:ind w:left="567" w:hanging="567"/>
        <w:jc w:val="both"/>
        <w:rPr>
          <w:rFonts w:ascii="Arial" w:hAnsi="Arial"/>
          <w:noProof w:val="0"/>
        </w:rPr>
      </w:pPr>
      <w:r>
        <w:rPr>
          <w:rFonts w:ascii="Arial" w:hAnsi="Arial" w:hint="cs"/>
          <w:noProof w:val="0"/>
          <w:rtl/>
        </w:rPr>
        <w:t>שוב, ככל שהיה ממש בטענתה של האשה למצב נפשי לא מיטבי, סביר להניח שהדבר היה ניכר גם בפני של רשמת ההוצאה לפועל, ובכל אופן, אין כל חידוש בכך שאנשים, מטבעם, מתרגשים ו/או חשים כך או אחרת במעמד הגעה להסכם, ובמקרה הנדון לא התרשמתי כי נמנע מהאשה להבין את טיבו של ההסכם, לא כל שכן כאשר נמנעה מלהזמין את ב"כ לעדות.</w:t>
      </w:r>
    </w:p>
    <w:p w:rsidR="0009530F" w:rsidRPr="0009530F" w:rsidRDefault="0009530F" w:rsidP="0009530F">
      <w:pPr>
        <w:pStyle w:val="ad"/>
        <w:rPr>
          <w:rFonts w:ascii="Arial" w:hAnsi="Arial"/>
          <w:noProof w:val="0"/>
          <w:sz w:val="16"/>
          <w:szCs w:val="16"/>
          <w:rtl/>
        </w:rPr>
      </w:pPr>
    </w:p>
    <w:p w:rsidR="0009530F" w:rsidRDefault="0009530F" w:rsidP="00702275">
      <w:pPr>
        <w:pStyle w:val="ad"/>
        <w:numPr>
          <w:ilvl w:val="0"/>
          <w:numId w:val="1"/>
        </w:numPr>
        <w:spacing w:line="360" w:lineRule="auto"/>
        <w:ind w:left="567" w:hanging="567"/>
        <w:jc w:val="both"/>
        <w:rPr>
          <w:rFonts w:ascii="Arial" w:hAnsi="Arial"/>
          <w:noProof w:val="0"/>
        </w:rPr>
      </w:pPr>
      <w:r>
        <w:rPr>
          <w:rFonts w:ascii="Arial" w:hAnsi="Arial" w:hint="cs"/>
          <w:noProof w:val="0"/>
          <w:rtl/>
        </w:rPr>
        <w:t>אשר על כן, מצאתי לדחות את הטענה.</w:t>
      </w:r>
    </w:p>
    <w:p w:rsidR="0009530F" w:rsidRPr="00FC4165" w:rsidRDefault="0009530F" w:rsidP="0009530F">
      <w:pPr>
        <w:pStyle w:val="ad"/>
        <w:rPr>
          <w:rFonts w:ascii="Arial" w:hAnsi="Arial"/>
          <w:noProof w:val="0"/>
          <w:sz w:val="16"/>
          <w:szCs w:val="16"/>
          <w:rtl/>
        </w:rPr>
      </w:pPr>
    </w:p>
    <w:p w:rsidR="0009530F" w:rsidRPr="003F141C" w:rsidRDefault="0009530F" w:rsidP="003F141C">
      <w:pPr>
        <w:spacing w:line="360" w:lineRule="auto"/>
        <w:jc w:val="both"/>
        <w:rPr>
          <w:rFonts w:ascii="Arial" w:hAnsi="Arial"/>
          <w:b/>
          <w:bCs/>
          <w:noProof w:val="0"/>
        </w:rPr>
      </w:pPr>
      <w:r w:rsidRPr="003F141C">
        <w:rPr>
          <w:rFonts w:ascii="Arial" w:hAnsi="Arial" w:hint="cs"/>
          <w:b/>
          <w:bCs/>
          <w:noProof w:val="0"/>
          <w:rtl/>
        </w:rPr>
        <w:t xml:space="preserve">ג.4.2. </w:t>
      </w:r>
      <w:r w:rsidRPr="003F141C">
        <w:rPr>
          <w:rFonts w:ascii="Arial" w:hAnsi="Arial"/>
          <w:b/>
          <w:bCs/>
          <w:noProof w:val="0"/>
          <w:rtl/>
        </w:rPr>
        <w:t>–</w:t>
      </w:r>
      <w:r w:rsidRPr="003F141C">
        <w:rPr>
          <w:rFonts w:ascii="Arial" w:hAnsi="Arial" w:hint="cs"/>
          <w:b/>
          <w:bCs/>
          <w:noProof w:val="0"/>
          <w:rtl/>
        </w:rPr>
        <w:t xml:space="preserve"> האם ההסכם </w:t>
      </w:r>
      <w:r w:rsidR="003F141C" w:rsidRPr="003F141C">
        <w:rPr>
          <w:rFonts w:ascii="Arial" w:hAnsi="Arial" w:hint="cs"/>
          <w:b/>
          <w:bCs/>
          <w:noProof w:val="0"/>
          <w:rtl/>
        </w:rPr>
        <w:t xml:space="preserve">גובש תחת </w:t>
      </w:r>
      <w:r w:rsidRPr="003F141C">
        <w:rPr>
          <w:rFonts w:ascii="Arial" w:hAnsi="Arial" w:hint="cs"/>
          <w:b/>
          <w:bCs/>
          <w:noProof w:val="0"/>
          <w:rtl/>
        </w:rPr>
        <w:t>עושק:</w:t>
      </w:r>
    </w:p>
    <w:p w:rsidR="00702275" w:rsidRPr="00FC4165" w:rsidRDefault="001303FD" w:rsidP="003F141C">
      <w:pPr>
        <w:pStyle w:val="ad"/>
        <w:spacing w:line="360" w:lineRule="auto"/>
        <w:ind w:left="567"/>
        <w:jc w:val="both"/>
        <w:rPr>
          <w:rFonts w:ascii="Arial" w:hAnsi="Arial"/>
          <w:noProof w:val="0"/>
          <w:sz w:val="18"/>
          <w:szCs w:val="18"/>
          <w:rtl/>
        </w:rPr>
      </w:pPr>
      <w:r>
        <w:rPr>
          <w:rFonts w:ascii="Arial" w:hAnsi="Arial" w:hint="cs"/>
          <w:noProof w:val="0"/>
          <w:sz w:val="18"/>
          <w:szCs w:val="18"/>
          <w:rtl/>
        </w:rPr>
        <w:t>]</w:t>
      </w:r>
    </w:p>
    <w:p w:rsidR="003F141C" w:rsidRDefault="003F141C" w:rsidP="00FC4165">
      <w:pPr>
        <w:pStyle w:val="ad"/>
        <w:numPr>
          <w:ilvl w:val="0"/>
          <w:numId w:val="1"/>
        </w:numPr>
        <w:spacing w:line="360" w:lineRule="auto"/>
        <w:ind w:left="567" w:hanging="567"/>
        <w:jc w:val="both"/>
        <w:rPr>
          <w:rFonts w:ascii="David" w:hAnsi="David"/>
        </w:rPr>
      </w:pPr>
      <w:r w:rsidRPr="00FC4165">
        <w:rPr>
          <w:rFonts w:ascii="David" w:hAnsi="David"/>
          <w:rtl/>
        </w:rPr>
        <w:t xml:space="preserve">סעיף 18 לחוק החוזים קובע כי: </w:t>
      </w:r>
      <w:r w:rsidRPr="00FC4165">
        <w:rPr>
          <w:rFonts w:ascii="David" w:hAnsi="David"/>
          <w:b/>
          <w:bCs/>
          <w:rtl/>
        </w:rPr>
        <w:t>"מי שהתקשר בחוזה עקב ניצול שניצל הצד השני או אחר מטעמו את מצוקת המתקשר, חולשתו השכלית או הגופנית או חוסר ניסיונו, ותנאי החוזה גרועים במידה בלתי סבירה מן המקובל, רשאי לבטל את החוזה"</w:t>
      </w:r>
      <w:r w:rsidRPr="00FC4165">
        <w:rPr>
          <w:rFonts w:ascii="David" w:hAnsi="David"/>
          <w:rtl/>
        </w:rPr>
        <w:t xml:space="preserve">. על פי הדין, צד לחוזה רשאי לבטלו מחמת עושק בהתקיים שלושה תנאים מצטברים: (א) מצוקה, חולשה שכלית או גופנית או חוסר ניסיון של הנעשה בזמן כריתת החוזה; (ב) ניצול מצבו של הנעשק על ידי העושק כדי לגרום לו להתקשר בחוזה; (ג) תנאי חוזה הגרועים במידה בלתי סבירה מן המקובל (ר' ע"א 4839/92 </w:t>
      </w:r>
      <w:r w:rsidRPr="00FC4165">
        <w:rPr>
          <w:rFonts w:ascii="David" w:hAnsi="David"/>
          <w:b/>
          <w:bCs/>
          <w:rtl/>
        </w:rPr>
        <w:t>גנז נ' כץ</w:t>
      </w:r>
      <w:r w:rsidRPr="00FC4165">
        <w:rPr>
          <w:rFonts w:ascii="David" w:hAnsi="David"/>
          <w:rtl/>
        </w:rPr>
        <w:t xml:space="preserve"> (פורסם בנבו, 28.9.1994)); בע"מ 2526/13 </w:t>
      </w:r>
      <w:r w:rsidRPr="00FC4165">
        <w:rPr>
          <w:rFonts w:ascii="David" w:hAnsi="David"/>
          <w:b/>
          <w:bCs/>
          <w:rtl/>
        </w:rPr>
        <w:t>פלוני נ' פלונית</w:t>
      </w:r>
      <w:r w:rsidRPr="00FC4165">
        <w:rPr>
          <w:rFonts w:ascii="David" w:hAnsi="David"/>
          <w:rtl/>
        </w:rPr>
        <w:t xml:space="preserve"> (פורסם בנבו, 26.5.2013)).</w:t>
      </w:r>
    </w:p>
    <w:p w:rsidR="001303FD" w:rsidRPr="001303FD" w:rsidRDefault="001303FD" w:rsidP="001303FD">
      <w:pPr>
        <w:pStyle w:val="ad"/>
        <w:spacing w:line="360" w:lineRule="auto"/>
        <w:ind w:left="567"/>
        <w:jc w:val="both"/>
        <w:rPr>
          <w:rFonts w:ascii="David" w:hAnsi="David"/>
          <w:sz w:val="16"/>
          <w:szCs w:val="16"/>
        </w:rPr>
      </w:pPr>
    </w:p>
    <w:p w:rsidR="003F141C" w:rsidRDefault="003F141C" w:rsidP="001303FD">
      <w:pPr>
        <w:pStyle w:val="ad"/>
        <w:numPr>
          <w:ilvl w:val="0"/>
          <w:numId w:val="1"/>
        </w:numPr>
        <w:spacing w:line="360" w:lineRule="auto"/>
        <w:ind w:left="567" w:hanging="567"/>
        <w:jc w:val="both"/>
        <w:rPr>
          <w:rFonts w:ascii="David" w:hAnsi="David"/>
        </w:rPr>
      </w:pPr>
      <w:r w:rsidRPr="001303FD">
        <w:rPr>
          <w:rFonts w:ascii="David" w:hAnsi="David"/>
          <w:rtl/>
        </w:rPr>
        <w:t xml:space="preserve">המצוקה, החולשה השכלית או הגופנית וחוסר הניסיון, אליהם מפנה סעיף 18 לחוק החוזים, חייבים להיות </w:t>
      </w:r>
      <w:r w:rsidRPr="001303FD">
        <w:rPr>
          <w:rFonts w:ascii="David" w:hAnsi="David"/>
          <w:i/>
          <w:iCs/>
          <w:rtl/>
        </w:rPr>
        <w:t>כבדי משקל</w:t>
      </w:r>
      <w:r w:rsidRPr="001303FD">
        <w:rPr>
          <w:rFonts w:ascii="David" w:hAnsi="David"/>
          <w:rtl/>
        </w:rPr>
        <w:t xml:space="preserve">, ועל בית המשפט להשתכנע, שפעלו את פעולתם על העשוק </w:t>
      </w:r>
      <w:r w:rsidRPr="001303FD">
        <w:rPr>
          <w:rFonts w:ascii="David" w:hAnsi="David"/>
          <w:i/>
          <w:iCs/>
          <w:rtl/>
        </w:rPr>
        <w:t>והסיטו את שיקול-דעתו סטייה של ממש מנתיבו הנכון</w:t>
      </w:r>
      <w:r w:rsidRPr="001303FD">
        <w:rPr>
          <w:rFonts w:ascii="David" w:hAnsi="David"/>
          <w:rtl/>
        </w:rPr>
        <w:t xml:space="preserve"> (ר' ע"א 403/80 </w:t>
      </w:r>
      <w:r w:rsidRPr="001303FD">
        <w:rPr>
          <w:rFonts w:ascii="David" w:hAnsi="David"/>
          <w:b/>
          <w:bCs/>
          <w:rtl/>
        </w:rPr>
        <w:t>סאני נ' קיקאון</w:t>
      </w:r>
      <w:r w:rsidRPr="001303FD">
        <w:rPr>
          <w:rFonts w:ascii="David" w:hAnsi="David"/>
          <w:rtl/>
        </w:rPr>
        <w:t xml:space="preserve"> (פורסם בנבו, 3.9.1981) עוד קבעה הפסיקה, כי ניצול לחץ נפשי שאינו מגיע כדי ניצול מצוקה אינו מהווה עושק כמשמעותו בסעיף 18 לחוק החוזים (ר' ע"א 4839/92 הנ"ל).</w:t>
      </w:r>
    </w:p>
    <w:p w:rsidR="001303FD" w:rsidRDefault="001303FD" w:rsidP="001303FD">
      <w:pPr>
        <w:pStyle w:val="ad"/>
        <w:rPr>
          <w:rFonts w:ascii="David" w:hAnsi="David"/>
          <w:rtl/>
        </w:rPr>
      </w:pPr>
    </w:p>
    <w:p w:rsidR="001303FD" w:rsidRDefault="001303FD" w:rsidP="001303FD">
      <w:pPr>
        <w:pStyle w:val="ad"/>
        <w:rPr>
          <w:rFonts w:ascii="David" w:hAnsi="David"/>
          <w:rtl/>
        </w:rPr>
      </w:pPr>
    </w:p>
    <w:p w:rsidR="001303FD" w:rsidRPr="001303FD" w:rsidRDefault="001303FD" w:rsidP="001303FD">
      <w:pPr>
        <w:pStyle w:val="ad"/>
        <w:rPr>
          <w:rFonts w:ascii="David" w:hAnsi="David"/>
          <w:rtl/>
        </w:rPr>
      </w:pPr>
    </w:p>
    <w:p w:rsidR="003F141C" w:rsidRDefault="003F141C" w:rsidP="00537B85">
      <w:pPr>
        <w:pStyle w:val="ad"/>
        <w:numPr>
          <w:ilvl w:val="0"/>
          <w:numId w:val="1"/>
        </w:numPr>
        <w:spacing w:line="360" w:lineRule="auto"/>
        <w:ind w:left="567" w:hanging="567"/>
        <w:jc w:val="both"/>
        <w:rPr>
          <w:rFonts w:ascii="David" w:hAnsi="David"/>
        </w:rPr>
      </w:pPr>
      <w:r w:rsidRPr="001303FD">
        <w:rPr>
          <w:rFonts w:ascii="David" w:hAnsi="David"/>
          <w:rtl/>
        </w:rPr>
        <w:lastRenderedPageBreak/>
        <w:t>בעת בחינת שאלת קיומו של עושק יש להביא בחשבון, בין היתר, כי לא מדובר בהחלטה רגעית אלא בהסכם אשר נחתם לאחר קיומו של משא ומתן מתמשך, כי לא הובאה כל ראיה טובה לכך שהאיש</w:t>
      </w:r>
      <w:r w:rsidR="001303FD">
        <w:rPr>
          <w:rFonts w:ascii="David" w:hAnsi="David" w:hint="cs"/>
          <w:rtl/>
        </w:rPr>
        <w:t>ה</w:t>
      </w:r>
      <w:r w:rsidRPr="001303FD">
        <w:rPr>
          <w:rFonts w:ascii="David" w:hAnsi="David"/>
          <w:rtl/>
        </w:rPr>
        <w:t xml:space="preserve"> הי</w:t>
      </w:r>
      <w:r w:rsidR="001303FD">
        <w:rPr>
          <w:rFonts w:ascii="David" w:hAnsi="David" w:hint="cs"/>
          <w:rtl/>
        </w:rPr>
        <w:t>יתה</w:t>
      </w:r>
      <w:r w:rsidRPr="001303FD">
        <w:rPr>
          <w:rFonts w:ascii="David" w:hAnsi="David"/>
          <w:rtl/>
        </w:rPr>
        <w:t xml:space="preserve"> במצב נפשי או שכלי שאינו מאפשר ל</w:t>
      </w:r>
      <w:r w:rsidR="001303FD">
        <w:rPr>
          <w:rFonts w:ascii="David" w:hAnsi="David" w:hint="cs"/>
          <w:rtl/>
        </w:rPr>
        <w:t>ה</w:t>
      </w:r>
      <w:r w:rsidRPr="001303FD">
        <w:rPr>
          <w:rFonts w:ascii="David" w:hAnsi="David"/>
          <w:rtl/>
        </w:rPr>
        <w:t xml:space="preserve"> לקבל החלטה מושכלת, </w:t>
      </w:r>
      <w:r w:rsidR="00537B85">
        <w:rPr>
          <w:rFonts w:ascii="David" w:hAnsi="David" w:hint="cs"/>
          <w:rtl/>
        </w:rPr>
        <w:t xml:space="preserve">לא </w:t>
      </w:r>
      <w:r w:rsidR="001303FD">
        <w:rPr>
          <w:rFonts w:ascii="David" w:hAnsi="David" w:hint="cs"/>
          <w:rtl/>
        </w:rPr>
        <w:t xml:space="preserve">כל שכן, כאשר הייתה מיוצגת ולא כל שכן שדבר ורבע דבר לא מנע ממנה לערוך תחשיבים עד למועד הדיון ו/או לבקשה הפסקה אפילו של כמה ימים לבחינת </w:t>
      </w:r>
      <w:r w:rsidR="00537B85">
        <w:rPr>
          <w:rFonts w:ascii="David" w:hAnsi="David" w:hint="cs"/>
          <w:rtl/>
        </w:rPr>
        <w:t>ה</w:t>
      </w:r>
      <w:r w:rsidR="001303FD">
        <w:rPr>
          <w:rFonts w:ascii="David" w:hAnsi="David" w:hint="cs"/>
          <w:rtl/>
        </w:rPr>
        <w:t xml:space="preserve">מספרים </w:t>
      </w:r>
      <w:r w:rsidR="001303FD">
        <w:rPr>
          <w:rFonts w:ascii="David" w:hAnsi="David"/>
          <w:rtl/>
        </w:rPr>
        <w:t>–</w:t>
      </w:r>
      <w:r w:rsidR="001303FD">
        <w:rPr>
          <w:rFonts w:ascii="David" w:hAnsi="David" w:hint="cs"/>
          <w:rtl/>
        </w:rPr>
        <w:t xml:space="preserve"> וכל זאת לא נעשה. </w:t>
      </w:r>
    </w:p>
    <w:p w:rsidR="001303FD" w:rsidRPr="001303FD" w:rsidRDefault="001303FD" w:rsidP="001303FD">
      <w:pPr>
        <w:pStyle w:val="ad"/>
        <w:spacing w:line="360" w:lineRule="auto"/>
        <w:ind w:left="567"/>
        <w:jc w:val="both"/>
        <w:rPr>
          <w:rFonts w:ascii="David" w:hAnsi="David"/>
          <w:sz w:val="16"/>
          <w:szCs w:val="16"/>
        </w:rPr>
      </w:pPr>
    </w:p>
    <w:p w:rsidR="001303FD" w:rsidRDefault="001303FD" w:rsidP="001303FD">
      <w:pPr>
        <w:pStyle w:val="ad"/>
        <w:numPr>
          <w:ilvl w:val="0"/>
          <w:numId w:val="1"/>
        </w:numPr>
        <w:spacing w:line="360" w:lineRule="auto"/>
        <w:ind w:left="567" w:hanging="567"/>
        <w:jc w:val="both"/>
        <w:rPr>
          <w:rFonts w:ascii="David" w:hAnsi="David"/>
        </w:rPr>
      </w:pPr>
      <w:r>
        <w:rPr>
          <w:rFonts w:ascii="David" w:hAnsi="David" w:hint="cs"/>
          <w:rtl/>
        </w:rPr>
        <w:t xml:space="preserve">מעבר לצורך, אין המדובר בהסכם שנחתם במחשכים ו/או כאשר צד אינו מיוצג ו/או כאשר צד אינו מודע להיקף זכויותיו, אלא מדובר בהסכם שנכרת במהלך הליך משפטי בו היו הצדדים מיוצגים ובו ניתנה להם האפשרות לקבל חוו"ד של רו"ח ולמעשה נפרשו בפניהם כל האפשרויות הקיימות לבעל דין, וחרף זאת הם הגיעו להסכמות כפי שנרשמו לפרוטוקול. </w:t>
      </w:r>
    </w:p>
    <w:p w:rsidR="001303FD" w:rsidRPr="00EE1130" w:rsidRDefault="001303FD" w:rsidP="001303FD">
      <w:pPr>
        <w:pStyle w:val="ad"/>
        <w:rPr>
          <w:rFonts w:ascii="David" w:hAnsi="David"/>
          <w:sz w:val="16"/>
          <w:szCs w:val="16"/>
          <w:rtl/>
        </w:rPr>
      </w:pPr>
    </w:p>
    <w:p w:rsidR="00EE1130" w:rsidRDefault="001303FD" w:rsidP="00EE1130">
      <w:pPr>
        <w:pStyle w:val="ad"/>
        <w:numPr>
          <w:ilvl w:val="0"/>
          <w:numId w:val="1"/>
        </w:numPr>
        <w:spacing w:line="360" w:lineRule="auto"/>
        <w:ind w:left="567" w:hanging="567"/>
        <w:jc w:val="both"/>
        <w:rPr>
          <w:rFonts w:ascii="David" w:hAnsi="David"/>
        </w:rPr>
      </w:pPr>
      <w:r w:rsidRPr="00815328">
        <w:rPr>
          <w:rFonts w:ascii="David" w:hAnsi="David"/>
          <w:rtl/>
        </w:rPr>
        <w:t>תחת נסיבות אלה, לא מצאתי כי התקיימו</w:t>
      </w:r>
      <w:r w:rsidR="00537B85">
        <w:rPr>
          <w:rFonts w:ascii="David" w:hAnsi="David" w:hint="cs"/>
          <w:rtl/>
        </w:rPr>
        <w:t xml:space="preserve"> אצל</w:t>
      </w:r>
      <w:r w:rsidRPr="00815328">
        <w:rPr>
          <w:rFonts w:ascii="David" w:hAnsi="David"/>
          <w:rtl/>
        </w:rPr>
        <w:t xml:space="preserve"> האשה שלושת התנאים דלעיל. מצבה של האשה לא היה כזה שמאפשר ניצול,</w:t>
      </w:r>
      <w:r w:rsidR="00537B85">
        <w:rPr>
          <w:rFonts w:ascii="David" w:hAnsi="David"/>
          <w:rtl/>
        </w:rPr>
        <w:t xml:space="preserve"> האיש לא ניצל את מצבה ואף לא הת</w:t>
      </w:r>
      <w:r w:rsidRPr="00815328">
        <w:rPr>
          <w:rFonts w:ascii="David" w:hAnsi="David"/>
          <w:rtl/>
        </w:rPr>
        <w:t>רשמתי כי תנאי העסק</w:t>
      </w:r>
      <w:r w:rsidR="00815328" w:rsidRPr="00815328">
        <w:rPr>
          <w:rFonts w:ascii="David" w:hAnsi="David"/>
          <w:rtl/>
        </w:rPr>
        <w:t>ה גרועים מהמקובל</w:t>
      </w:r>
      <w:r w:rsidR="00815328">
        <w:rPr>
          <w:rFonts w:ascii="David" w:hAnsi="David" w:hint="cs"/>
          <w:rtl/>
        </w:rPr>
        <w:t xml:space="preserve">. בעניין האחרון אבקש להעיר בשלוש: (1) האשה הגישה תחשיב של יתרת החוב כשהוא צמוד למדד ונושא ריבית, ואולם תחשיב זה לא הוגש על ידי מומחה שמונה על ידי בית המשפט; (2) האשה יוצאת מנקודת הנחה שבכל מקרה היא הייתה זכאית למלוא הריבית בגין החוב, זאת כאשר היא מנעה במשך שנים ארוכות את חלוקת התמורה בגין הנכס וייתכן והתנהלות זו הייתה נמצאת כחסרת תום לב שהיה בה כדי להפחית או לבטל חיובי ריבית, ואינני מביע דעתי על העניין אלא מציין זאת רק על מנת להראות כי עניין הריבית יכול היה להיות שנוי במחלוקת; (3) בין הצדדים היו קיימות התחשבנויות וטענות, לרבות בעניינים שהוגשו לגביהם הליכים בתיק ההוצאה לפועל </w:t>
      </w:r>
      <w:r w:rsidR="00EE1130">
        <w:rPr>
          <w:rFonts w:ascii="David" w:hAnsi="David" w:hint="cs"/>
          <w:rtl/>
        </w:rPr>
        <w:t>(ובלשון הצדדים לפרוטוקול תיק ההוצאה לפועל:</w:t>
      </w:r>
      <w:r w:rsidR="00EE1130" w:rsidRPr="00EE1130">
        <w:rPr>
          <w:rFonts w:ascii="David" w:hAnsi="David"/>
          <w:rtl/>
        </w:rPr>
        <w:t xml:space="preserve"> </w:t>
      </w:r>
      <w:r w:rsidR="00EE1130" w:rsidRPr="00673D34">
        <w:rPr>
          <w:rFonts w:ascii="David" w:hAnsi="David"/>
          <w:b/>
          <w:bCs/>
          <w:rtl/>
        </w:rPr>
        <w:t>"...בכך יש לסתום את הגולל על כל טענות הצדדים בנוגע להחלטות שיפוטיות שהוגשו לביצוע בתיק זה עד היום..."</w:t>
      </w:r>
      <w:r w:rsidR="00EE1130" w:rsidRPr="00EE1130">
        <w:rPr>
          <w:rFonts w:ascii="David" w:hAnsi="David"/>
          <w:rtl/>
        </w:rPr>
        <w:t xml:space="preserve"> (ר' לעיל)</w:t>
      </w:r>
      <w:r w:rsidR="00EE1130">
        <w:rPr>
          <w:rFonts w:ascii="David" w:hAnsi="David" w:hint="cs"/>
          <w:rtl/>
        </w:rPr>
        <w:t xml:space="preserve">) </w:t>
      </w:r>
      <w:r w:rsidR="00EE1130">
        <w:rPr>
          <w:rFonts w:ascii="David" w:hAnsi="David"/>
          <w:rtl/>
        </w:rPr>
        <w:t>–</w:t>
      </w:r>
      <w:r w:rsidR="00EE1130">
        <w:rPr>
          <w:rFonts w:ascii="David" w:hAnsi="David" w:hint="cs"/>
          <w:rtl/>
        </w:rPr>
        <w:t xml:space="preserve"> כך שיהיה זה לא רציני לערוך תחשיב של החוב הנטען בהתעלם מהויתורים שעשה האיש במסגרת ההסכמות דלעיל, אלא אם כן חפץ מי שחפץ "לפתוח" לדיון משפטי את מלוא תיק ההוצאה לפועל על קרביו ואיבריו ברבות השנים, ואנא אנו באים?!</w:t>
      </w:r>
    </w:p>
    <w:p w:rsidR="00EE1130" w:rsidRPr="00EE1130" w:rsidRDefault="00EE1130" w:rsidP="00EE1130">
      <w:pPr>
        <w:pStyle w:val="ad"/>
        <w:spacing w:line="360" w:lineRule="auto"/>
        <w:ind w:left="567"/>
        <w:jc w:val="both"/>
        <w:rPr>
          <w:rFonts w:ascii="David" w:hAnsi="David"/>
          <w:sz w:val="16"/>
          <w:szCs w:val="16"/>
        </w:rPr>
      </w:pPr>
    </w:p>
    <w:p w:rsidR="003F141C" w:rsidRDefault="00EE1130" w:rsidP="00EE1130">
      <w:pPr>
        <w:pStyle w:val="ad"/>
        <w:numPr>
          <w:ilvl w:val="0"/>
          <w:numId w:val="1"/>
        </w:numPr>
        <w:spacing w:line="360" w:lineRule="auto"/>
        <w:ind w:left="567" w:hanging="567"/>
        <w:jc w:val="both"/>
        <w:rPr>
          <w:rFonts w:ascii="David" w:hAnsi="David"/>
        </w:rPr>
      </w:pPr>
      <w:r>
        <w:rPr>
          <w:rFonts w:ascii="David" w:hAnsi="David" w:hint="cs"/>
          <w:rtl/>
        </w:rPr>
        <w:t xml:space="preserve">בטרם אחתום את הפרק הדן בביטול ההסכם, אני רואה חובה להביא מדברי </w:t>
      </w:r>
      <w:r w:rsidR="003F141C" w:rsidRPr="00EE1130">
        <w:rPr>
          <w:rFonts w:ascii="David" w:hAnsi="David"/>
          <w:rtl/>
        </w:rPr>
        <w:t xml:space="preserve">כב' השופטת (כתוארה אז) א' חיות בע"א 11750/05 </w:t>
      </w:r>
      <w:r w:rsidR="003F141C" w:rsidRPr="00EE1130">
        <w:rPr>
          <w:rFonts w:ascii="David" w:hAnsi="David"/>
          <w:b/>
          <w:bCs/>
          <w:rtl/>
        </w:rPr>
        <w:t>יעל שמר נ' בנק הפועלים בע"מ</w:t>
      </w:r>
      <w:r w:rsidR="003F141C" w:rsidRPr="00EE1130">
        <w:rPr>
          <w:rFonts w:ascii="David" w:hAnsi="David"/>
          <w:rtl/>
        </w:rPr>
        <w:t xml:space="preserve"> (פורסם בנבו, 15.11.2007), לאמור: </w:t>
      </w:r>
      <w:r w:rsidR="003F141C" w:rsidRPr="00EE1130">
        <w:rPr>
          <w:rFonts w:ascii="David" w:hAnsi="David"/>
          <w:b/>
          <w:bCs/>
          <w:color w:val="000000"/>
          <w:rtl/>
        </w:rPr>
        <w:t xml:space="preserve">"... </w:t>
      </w:r>
      <w:r w:rsidR="003F141C" w:rsidRPr="00EE1130">
        <w:rPr>
          <w:rFonts w:ascii="David" w:hAnsi="David"/>
          <w:b/>
          <w:bCs/>
          <w:rtl/>
        </w:rPr>
        <w:t xml:space="preserve"> אף שניתן לבטל הסכם פשרה שקיבל תוקף של פסק דין אם נפל פגם בכריתתו, </w:t>
      </w:r>
      <w:r w:rsidR="003F141C" w:rsidRPr="00EE1130">
        <w:rPr>
          <w:rFonts w:ascii="David" w:hAnsi="David"/>
          <w:b/>
          <w:bCs/>
          <w:u w:val="single"/>
          <w:rtl/>
        </w:rPr>
        <w:t>על בית המשפט לנהוג משנה זהירות בעניין זה ולהשתכנע כי קיימים טעמים כבדי משקל המצדיקים את הביטול</w:t>
      </w:r>
      <w:r w:rsidR="003F141C" w:rsidRPr="00EE1130">
        <w:rPr>
          <w:rFonts w:ascii="David" w:hAnsi="David"/>
          <w:b/>
          <w:bCs/>
          <w:rtl/>
        </w:rPr>
        <w:t xml:space="preserve">. זאת בשל החשיבות הרבה שיש לייחס לערך של סופיות הסכם הפשרה כהסדר המסיים את הסכסוך בין הצדדים... אכן, גישה אחרת, גמישה יותר, שתאפשר ביטול הסכם פשרה כל אימת שמי מן הצדדים יסבור בדיעבד שהפשרה לא הייתה מוצלחת או כדאית מבחינתו, אינה מתיישבת עם דיני החוזים הכלליים לפיהם טעות בכדאיות העיסקה איננה עולה כדי פגם בכריתת החוזה ואינה מזכה את הצד שטעה בביטולו... גישה כזו אף חותרת תחת יסודותיו של מוסד הפשרה. היא מערערת את הוודאות ואת הסופיות שהן מסימניו המובהקים של המוסד ועלולה להרתיע מתדיינים מלסיים בדרך זו את המחלוקות </w:t>
      </w:r>
      <w:r w:rsidR="003F141C" w:rsidRPr="00EE1130">
        <w:rPr>
          <w:rFonts w:ascii="David" w:hAnsi="David"/>
          <w:b/>
          <w:bCs/>
          <w:rtl/>
        </w:rPr>
        <w:lastRenderedPageBreak/>
        <w:t xml:space="preserve">שביניהם. בכך יצא נפסד האינטרס הציבורי המחייב לפעול, ככל שהדבר ניתן, לקידום ולעידוד פשרות בהליכים משפטיים... </w:t>
      </w:r>
      <w:r w:rsidR="003F141C" w:rsidRPr="00EE1130">
        <w:rPr>
          <w:rFonts w:ascii="David" w:hAnsi="David"/>
          <w:b/>
          <w:bCs/>
          <w:u w:val="single"/>
          <w:rtl/>
        </w:rPr>
        <w:t>ייתכן שהמערערים התקשרו בהסכם הפשרה לאחר התלבטות וכי עשו זאת לא בלב קל, כפי שהעידה המערערת, אך זה טיבן של פשרות ועל אחת כמה וכמה פשרות שבהן נוטל על עצמו בעל דין התחייבויות לא פשוטות</w:t>
      </w:r>
      <w:r w:rsidR="003F141C" w:rsidRPr="00EE1130">
        <w:rPr>
          <w:rFonts w:ascii="David" w:hAnsi="David"/>
          <w:b/>
          <w:bCs/>
          <w:rtl/>
        </w:rPr>
        <w:t xml:space="preserve">. בכך בלבד אין כדי לבסס עילה לביטול הסכם בכלל והסכם פשרה שקיבל תוקף של פסק דין בפרט, בשל עושק, כפיה או הטעיה... </w:t>
      </w:r>
      <w:r w:rsidR="003F141C" w:rsidRPr="00EE1130">
        <w:rPr>
          <w:rFonts w:ascii="David" w:hAnsi="David"/>
          <w:b/>
          <w:bCs/>
          <w:u w:val="single"/>
          <w:rtl/>
        </w:rPr>
        <w:t>המערערים היו מיוצגים על ידי עורך דין לאורך כל ההליך</w:t>
      </w:r>
      <w:r w:rsidR="003F141C" w:rsidRPr="00EE1130">
        <w:rPr>
          <w:rFonts w:ascii="David" w:hAnsi="David"/>
          <w:b/>
          <w:bCs/>
          <w:rtl/>
        </w:rPr>
        <w:t xml:space="preserve"> שבסופו נחתם הסכם הפשרה ואושר על ידי בית המשפט ואין חולק כי קדם לחתימת ההסכם משא ומתן ממושך למדי שהתנהל בין הצדדים. המערערים אף החלו לבצע את ההסכם ואת הטענות בדבר הפגמים בכריתתו העלו רק שנים מספר לאחר שנחתם ולאחר שהפרו אותו וחדלו מלבצע את התשלומים על פיו. כל העובדות הללו מחזקות בעיני את המסקנה אליה הגיע בית המשפט המחוזי כי אין ממש בטענות שהעלו המערערים לעניין פגמים כביכול שנפלו בכריתת הסכם הפשרה."</w:t>
      </w:r>
      <w:r w:rsidR="003F141C" w:rsidRPr="00EE1130">
        <w:rPr>
          <w:rFonts w:ascii="David" w:hAnsi="David"/>
          <w:rtl/>
        </w:rPr>
        <w:t xml:space="preserve"> (שם, סעיף 9 לפסק הדין, הדגשות לא במקור).</w:t>
      </w:r>
    </w:p>
    <w:p w:rsidR="00EE1130" w:rsidRPr="00EE1130" w:rsidRDefault="00EE1130" w:rsidP="00EE1130">
      <w:pPr>
        <w:pStyle w:val="ad"/>
        <w:spacing w:line="360" w:lineRule="auto"/>
        <w:ind w:left="567"/>
        <w:jc w:val="both"/>
        <w:rPr>
          <w:rFonts w:ascii="David" w:hAnsi="David"/>
          <w:sz w:val="16"/>
          <w:szCs w:val="16"/>
        </w:rPr>
      </w:pPr>
    </w:p>
    <w:p w:rsidR="00EE1130" w:rsidRDefault="00EE1130" w:rsidP="00EE1130">
      <w:pPr>
        <w:pStyle w:val="ad"/>
        <w:numPr>
          <w:ilvl w:val="0"/>
          <w:numId w:val="1"/>
        </w:numPr>
        <w:spacing w:line="360" w:lineRule="auto"/>
        <w:ind w:left="567" w:hanging="567"/>
        <w:jc w:val="both"/>
        <w:rPr>
          <w:rFonts w:ascii="David" w:hAnsi="David"/>
        </w:rPr>
      </w:pPr>
      <w:r>
        <w:rPr>
          <w:rFonts w:ascii="David" w:hAnsi="David" w:hint="cs"/>
          <w:rtl/>
        </w:rPr>
        <w:t>והדברים נכונים ויפים גם למקרה שבפנינו.</w:t>
      </w:r>
    </w:p>
    <w:p w:rsidR="00EE1130" w:rsidRPr="00E04D21" w:rsidRDefault="00EE1130" w:rsidP="00EE1130">
      <w:pPr>
        <w:rPr>
          <w:rFonts w:ascii="David" w:hAnsi="David"/>
          <w:sz w:val="16"/>
          <w:szCs w:val="16"/>
          <w:rtl/>
        </w:rPr>
      </w:pPr>
    </w:p>
    <w:p w:rsidR="00EE1130" w:rsidRPr="00E04D21" w:rsidRDefault="00EE1130" w:rsidP="00EE1130">
      <w:pPr>
        <w:rPr>
          <w:rFonts w:ascii="David" w:hAnsi="David"/>
          <w:b/>
          <w:bCs/>
          <w:rtl/>
        </w:rPr>
      </w:pPr>
      <w:r w:rsidRPr="00E04D21">
        <w:rPr>
          <w:rFonts w:ascii="David" w:hAnsi="David" w:hint="cs"/>
          <w:b/>
          <w:bCs/>
          <w:rtl/>
        </w:rPr>
        <w:t xml:space="preserve">ד' </w:t>
      </w:r>
      <w:r w:rsidRPr="00E04D21">
        <w:rPr>
          <w:rFonts w:ascii="David" w:hAnsi="David"/>
          <w:b/>
          <w:bCs/>
          <w:rtl/>
        </w:rPr>
        <w:t>–</w:t>
      </w:r>
      <w:r w:rsidRPr="00E04D21">
        <w:rPr>
          <w:rFonts w:ascii="David" w:hAnsi="David" w:hint="cs"/>
          <w:b/>
          <w:bCs/>
          <w:rtl/>
        </w:rPr>
        <w:t xml:space="preserve"> סיכומם של </w:t>
      </w:r>
      <w:r w:rsidR="00E04D21" w:rsidRPr="00E04D21">
        <w:rPr>
          <w:rFonts w:ascii="David" w:hAnsi="David" w:hint="cs"/>
          <w:b/>
          <w:bCs/>
          <w:rtl/>
        </w:rPr>
        <w:t>דברים:</w:t>
      </w:r>
    </w:p>
    <w:p w:rsidR="00E04D21" w:rsidRPr="00E04D21" w:rsidRDefault="00E04D21" w:rsidP="00EE1130">
      <w:pPr>
        <w:rPr>
          <w:rFonts w:ascii="David" w:hAnsi="David"/>
          <w:sz w:val="16"/>
          <w:szCs w:val="16"/>
          <w:rtl/>
        </w:rPr>
      </w:pPr>
    </w:p>
    <w:p w:rsidR="00E04D21" w:rsidRDefault="00E04D21" w:rsidP="00E04D21">
      <w:pPr>
        <w:pStyle w:val="ad"/>
        <w:numPr>
          <w:ilvl w:val="0"/>
          <w:numId w:val="1"/>
        </w:numPr>
        <w:spacing w:line="360" w:lineRule="auto"/>
        <w:ind w:left="567" w:hanging="567"/>
        <w:jc w:val="both"/>
        <w:rPr>
          <w:rFonts w:ascii="David" w:hAnsi="David"/>
        </w:rPr>
      </w:pPr>
      <w:r>
        <w:rPr>
          <w:rFonts w:ascii="David" w:hAnsi="David" w:hint="cs"/>
          <w:rtl/>
        </w:rPr>
        <w:t>בסופו של מסעינו, מצאתי לקבל את תביעתו של האיש ברובה ולדחות את תביעתה של האשה. בשים לב לסעדים שנתבעו אל מול הסעדים שניתנו, ובשים לב כי התביעה אחת היה האיש מיוצג על ידי הסיוע המשפטי ובתביעה נוספת ע"י עו"ד פרטי, מצאתי לחייב את האשה לשלם לאיש שכ"ט ב"כ הפרטי בסך כולל של 20,000 ₪.</w:t>
      </w:r>
    </w:p>
    <w:p w:rsidR="00E04D21" w:rsidRPr="00673D34" w:rsidRDefault="00E04D21" w:rsidP="00E04D21">
      <w:pPr>
        <w:pStyle w:val="ad"/>
        <w:spacing w:line="360" w:lineRule="auto"/>
        <w:ind w:left="567"/>
        <w:jc w:val="both"/>
        <w:rPr>
          <w:rFonts w:ascii="David" w:hAnsi="David"/>
          <w:sz w:val="16"/>
          <w:szCs w:val="16"/>
        </w:rPr>
      </w:pPr>
    </w:p>
    <w:p w:rsidR="00E04D21" w:rsidRDefault="00E04D21" w:rsidP="00E04D21">
      <w:pPr>
        <w:pStyle w:val="ad"/>
        <w:numPr>
          <w:ilvl w:val="0"/>
          <w:numId w:val="1"/>
        </w:numPr>
        <w:spacing w:line="360" w:lineRule="auto"/>
        <w:ind w:left="567" w:hanging="567"/>
        <w:jc w:val="both"/>
        <w:rPr>
          <w:rFonts w:ascii="David" w:hAnsi="David"/>
        </w:rPr>
      </w:pPr>
      <w:r>
        <w:rPr>
          <w:rFonts w:ascii="David" w:hAnsi="David" w:hint="cs"/>
          <w:rtl/>
        </w:rPr>
        <w:t>אשר על כן ומכל המקובץ לעיל, הריני להורות כי:</w:t>
      </w:r>
    </w:p>
    <w:p w:rsidR="00E04D21" w:rsidRPr="00673D34" w:rsidRDefault="00E04D21" w:rsidP="00E04D21">
      <w:pPr>
        <w:pStyle w:val="ad"/>
        <w:rPr>
          <w:rFonts w:ascii="David" w:hAnsi="David"/>
          <w:sz w:val="16"/>
          <w:szCs w:val="16"/>
          <w:rtl/>
        </w:rPr>
      </w:pPr>
    </w:p>
    <w:p w:rsidR="00E04D21" w:rsidRDefault="00E04D21" w:rsidP="00AD77E6">
      <w:pPr>
        <w:pStyle w:val="ad"/>
        <w:numPr>
          <w:ilvl w:val="0"/>
          <w:numId w:val="16"/>
        </w:numPr>
        <w:spacing w:line="360" w:lineRule="auto"/>
        <w:jc w:val="both"/>
        <w:rPr>
          <w:rFonts w:ascii="David" w:hAnsi="David"/>
        </w:rPr>
      </w:pPr>
      <w:r>
        <w:rPr>
          <w:rFonts w:ascii="David" w:hAnsi="David" w:hint="cs"/>
          <w:rtl/>
        </w:rPr>
        <w:t>התביעה לביטול הסכם נדחית בזאת.</w:t>
      </w:r>
    </w:p>
    <w:p w:rsidR="00EE1130" w:rsidRDefault="00E04D21" w:rsidP="008C1714">
      <w:pPr>
        <w:pStyle w:val="ad"/>
        <w:numPr>
          <w:ilvl w:val="0"/>
          <w:numId w:val="16"/>
        </w:numPr>
        <w:spacing w:line="360" w:lineRule="auto"/>
        <w:jc w:val="both"/>
        <w:rPr>
          <w:rFonts w:ascii="David" w:hAnsi="David"/>
        </w:rPr>
      </w:pPr>
      <w:r>
        <w:rPr>
          <w:rFonts w:ascii="David" w:hAnsi="David" w:hint="cs"/>
          <w:rtl/>
        </w:rPr>
        <w:t xml:space="preserve">התביעה לדמי שימוש מתקבלת ברובה כך שהאשה תשלם לאיש </w:t>
      </w:r>
      <w:r w:rsidR="00AD77E6">
        <w:rPr>
          <w:rFonts w:ascii="David" w:hAnsi="David" w:hint="cs"/>
          <w:rtl/>
        </w:rPr>
        <w:t xml:space="preserve">סך של </w:t>
      </w:r>
      <w:r w:rsidR="008C1714">
        <w:rPr>
          <w:rFonts w:ascii="David" w:hAnsi="David" w:hint="cs"/>
          <w:rtl/>
        </w:rPr>
        <w:t>219,361</w:t>
      </w:r>
      <w:r w:rsidR="00AD77E6">
        <w:rPr>
          <w:rFonts w:ascii="David" w:hAnsi="David" w:hint="cs"/>
          <w:rtl/>
        </w:rPr>
        <w:t xml:space="preserve"> ₪, כשסכום זה צמוד למדד ונושא ריבית ממועד הגשת התביעה ועד למועד התשלום בפועל.</w:t>
      </w:r>
    </w:p>
    <w:p w:rsidR="00AD77E6" w:rsidRDefault="00AD77E6" w:rsidP="00E04D21">
      <w:pPr>
        <w:pStyle w:val="ad"/>
        <w:numPr>
          <w:ilvl w:val="0"/>
          <w:numId w:val="16"/>
        </w:numPr>
        <w:spacing w:line="360" w:lineRule="auto"/>
        <w:jc w:val="both"/>
        <w:rPr>
          <w:rFonts w:ascii="David" w:hAnsi="David"/>
        </w:rPr>
      </w:pPr>
      <w:r>
        <w:rPr>
          <w:rFonts w:ascii="David" w:hAnsi="David" w:hint="cs"/>
          <w:rtl/>
        </w:rPr>
        <w:t>האשה תשלם לאיש שכ"ט ב"כ בסך של 20,000 ₪.</w:t>
      </w:r>
    </w:p>
    <w:p w:rsidR="00AD77E6" w:rsidRDefault="00AD77E6" w:rsidP="00E04D21">
      <w:pPr>
        <w:pStyle w:val="ad"/>
        <w:numPr>
          <w:ilvl w:val="0"/>
          <w:numId w:val="16"/>
        </w:numPr>
        <w:spacing w:line="360" w:lineRule="auto"/>
        <w:jc w:val="both"/>
        <w:rPr>
          <w:rFonts w:ascii="David" w:hAnsi="David"/>
        </w:rPr>
      </w:pPr>
      <w:r>
        <w:rPr>
          <w:rFonts w:ascii="David" w:hAnsi="David" w:hint="cs"/>
          <w:rtl/>
        </w:rPr>
        <w:t>פסק הדין מותר בפרסום בהשמטת פרטים מזהים.</w:t>
      </w:r>
    </w:p>
    <w:p w:rsidR="00AD77E6" w:rsidRPr="00EE1130" w:rsidRDefault="00AD77E6" w:rsidP="00E04D21">
      <w:pPr>
        <w:pStyle w:val="ad"/>
        <w:numPr>
          <w:ilvl w:val="0"/>
          <w:numId w:val="16"/>
        </w:numPr>
        <w:spacing w:line="360" w:lineRule="auto"/>
        <w:jc w:val="both"/>
        <w:rPr>
          <w:rFonts w:ascii="David" w:hAnsi="David"/>
        </w:rPr>
      </w:pPr>
      <w:r>
        <w:rPr>
          <w:rFonts w:ascii="David" w:hAnsi="David" w:hint="cs"/>
          <w:rtl/>
        </w:rPr>
        <w:t>כל התיקים ייסגרו.</w:t>
      </w:r>
    </w:p>
    <w:p w:rsidR="002F0238" w:rsidRDefault="002F0238" w:rsidP="002F0238">
      <w:pPr>
        <w:pStyle w:val="ad"/>
        <w:rPr>
          <w:rFonts w:ascii="David" w:hAnsi="David"/>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י"ד כסלו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27 נובמבר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A9096B">
      <w:pPr>
        <w:spacing w:line="360" w:lineRule="auto"/>
        <w:ind w:left="3600" w:firstLine="720"/>
        <w:jc w:val="both"/>
      </w:pPr>
      <w:sdt>
        <w:sdtPr>
          <w:rPr>
            <w:rtl/>
          </w:rPr>
          <w:alias w:val="MergeField"/>
          <w:tag w:val="1237"/>
          <w:id w:val="-551386617"/>
        </w:sdtPr>
        <w:sdtEndPr/>
        <w:sdtContent>
          <w:r w:rsidR="00327A05">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96B" w:rsidRDefault="00A9096B">
      <w:r>
        <w:separator/>
      </w:r>
    </w:p>
  </w:endnote>
  <w:endnote w:type="continuationSeparator" w:id="0">
    <w:p w:rsidR="00A9096B" w:rsidRDefault="00A9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D73" w:rsidRDefault="00157D7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B3272E">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B3272E">
      <w:rPr>
        <w:rStyle w:val="ab"/>
        <w:rtl/>
      </w:rPr>
      <w:t>14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D73" w:rsidRDefault="00157D7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96B" w:rsidRDefault="00A9096B">
      <w:r>
        <w:separator/>
      </w:r>
    </w:p>
  </w:footnote>
  <w:footnote w:type="continuationSeparator" w:id="0">
    <w:p w:rsidR="00A9096B" w:rsidRDefault="00A90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D73" w:rsidRDefault="00157D7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A81E02">
      <w:trPr>
        <w:trHeight w:hRule="exact" w:val="418"/>
        <w:jc w:val="center"/>
      </w:trPr>
      <w:sdt>
        <w:sdtPr>
          <w:rPr>
            <w:rtl/>
          </w:rPr>
          <w:alias w:val="1174"/>
          <w:tag w:val="1174"/>
          <w:id w:val="222578223"/>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rsidTr="00A81E02">
      <w:trPr>
        <w:trHeight w:val="337"/>
        <w:jc w:val="center"/>
      </w:trPr>
      <w:tc>
        <w:tcPr>
          <w:tcW w:w="8505" w:type="dxa"/>
        </w:tcPr>
        <w:p w:rsidR="002914D6" w:rsidRPr="00DF266A" w:rsidRDefault="00A9096B" w:rsidP="008C1714">
          <w:pPr>
            <w:rPr>
              <w:b/>
              <w:bCs/>
              <w:noProof w:val="0"/>
              <w:rtl/>
            </w:rPr>
          </w:pPr>
          <w:sdt>
            <w:sdtPr>
              <w:rPr>
                <w:b/>
                <w:bCs/>
                <w:rtl/>
              </w:rPr>
              <w:alias w:val="1170"/>
              <w:tag w:val="1170"/>
              <w:id w:val="-984775694"/>
              <w:text w:multiLine="1"/>
            </w:sdtPr>
            <w:sdtEndPr/>
            <w:sdtContent>
              <w:r w:rsidR="00BD18F5" w:rsidRPr="00F30F39">
                <w:rPr>
                  <w:b/>
                  <w:bCs/>
                  <w:noProof w:val="0"/>
                  <w:rtl/>
                </w:rPr>
                <w:t>תלה"מ</w:t>
              </w:r>
            </w:sdtContent>
          </w:sdt>
          <w:r w:rsidR="00011212" w:rsidRPr="00F30F39">
            <w:rPr>
              <w:b/>
              <w:bCs/>
              <w:noProof w:val="0"/>
              <w:rtl/>
            </w:rPr>
            <w:t xml:space="preserve"> </w:t>
          </w:r>
          <w:sdt>
            <w:sdtPr>
              <w:rPr>
                <w:b/>
                <w:bCs/>
                <w:rtl/>
              </w:rPr>
              <w:alias w:val="1171"/>
              <w:tag w:val="1171"/>
              <w:id w:val="1025217868"/>
              <w:text w:multiLine="1"/>
            </w:sdtPr>
            <w:sdtEndPr/>
            <w:sdtContent>
              <w:r w:rsidR="00BD18F5" w:rsidRPr="00F30F39">
                <w:rPr>
                  <w:b/>
                  <w:bCs/>
                  <w:noProof w:val="0"/>
                  <w:rtl/>
                </w:rPr>
                <w:t>4655-11-20</w:t>
              </w:r>
            </w:sdtContent>
          </w:sdt>
          <w:r w:rsidR="00011212" w:rsidRPr="00F30F39">
            <w:rPr>
              <w:b/>
              <w:bCs/>
              <w:noProof w:val="0"/>
              <w:rtl/>
            </w:rPr>
            <w:t xml:space="preserve"> </w:t>
          </w:r>
          <w:sdt>
            <w:sdtPr>
              <w:rPr>
                <w:b/>
                <w:bCs/>
                <w:rtl/>
              </w:rPr>
              <w:alias w:val="1172"/>
              <w:tag w:val="1172"/>
              <w:id w:val="-673653942"/>
              <w:text w:multiLine="1"/>
            </w:sdtPr>
            <w:sdtEndPr/>
            <w:sdtContent>
              <w:r w:rsidR="008C1714">
                <w:rPr>
                  <w:rFonts w:hint="cs"/>
                  <w:b/>
                  <w:bCs/>
                  <w:noProof w:val="0"/>
                  <w:rtl/>
                </w:rPr>
                <w:t>פלוני נ' פלונית</w:t>
              </w:r>
              <w:r w:rsidR="00A81E02" w:rsidRPr="00F30F39">
                <w:rPr>
                  <w:rFonts w:hint="cs"/>
                  <w:b/>
                  <w:bCs/>
                  <w:rtl/>
                </w:rPr>
                <w:t xml:space="preserve">; תלה"מ 18595-09-21 </w:t>
              </w:r>
              <w:r w:rsidR="008C1714">
                <w:rPr>
                  <w:rFonts w:hint="cs"/>
                  <w:b/>
                  <w:bCs/>
                  <w:rtl/>
                </w:rPr>
                <w:t>פלונית נ' פלוני</w:t>
              </w:r>
            </w:sdtContent>
          </w:sdt>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D73" w:rsidRDefault="00157D7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0A303F26"/>
    <w:lvl w:ilvl="0" w:tplc="E0E8B770">
      <w:start w:val="1"/>
      <w:numFmt w:val="decimal"/>
      <w:pStyle w:val="Ruller4"/>
      <w:lvlText w:val="%1."/>
      <w:lvlJc w:val="left"/>
      <w:pPr>
        <w:tabs>
          <w:tab w:val="num" w:pos="907"/>
        </w:tabs>
        <w:ind w:left="0" w:firstLine="0"/>
      </w:pPr>
      <w:rPr>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2F91417"/>
    <w:multiLevelType w:val="hybridMultilevel"/>
    <w:tmpl w:val="2C704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E369E0"/>
    <w:multiLevelType w:val="hybridMultilevel"/>
    <w:tmpl w:val="B50C25AC"/>
    <w:lvl w:ilvl="0" w:tplc="A266C2A2">
      <w:start w:val="1"/>
      <w:numFmt w:val="decimal"/>
      <w:lvlText w:val="%1."/>
      <w:lvlJc w:val="left"/>
      <w:pPr>
        <w:ind w:left="720" w:hanging="360"/>
      </w:pPr>
      <w:rPr>
        <w:color w:val="auto"/>
      </w:rPr>
    </w:lvl>
    <w:lvl w:ilvl="1" w:tplc="358A43FA">
      <w:start w:val="1"/>
      <w:numFmt w:val="hebrew1"/>
      <w:lvlText w:val="%2."/>
      <w:lvlJc w:val="left"/>
      <w:pPr>
        <w:ind w:left="1950" w:hanging="870"/>
      </w:pPr>
      <w:rPr>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2654193"/>
    <w:multiLevelType w:val="hybridMultilevel"/>
    <w:tmpl w:val="768EBC6E"/>
    <w:lvl w:ilvl="0" w:tplc="B5340DD2">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9B84284"/>
    <w:multiLevelType w:val="hybridMultilevel"/>
    <w:tmpl w:val="9CA60FA2"/>
    <w:lvl w:ilvl="0" w:tplc="9D8CA6C6">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6970732"/>
    <w:multiLevelType w:val="hybridMultilevel"/>
    <w:tmpl w:val="5D1A1E20"/>
    <w:lvl w:ilvl="0" w:tplc="31A846CC">
      <w:start w:val="1"/>
      <w:numFmt w:val="hebrew1"/>
      <w:lvlText w:val="%1."/>
      <w:lvlJc w:val="left"/>
      <w:pPr>
        <w:ind w:left="927" w:hanging="360"/>
      </w:pPr>
      <w:rPr>
        <w:b w:val="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15:restartNumberingAfterBreak="0">
    <w:nsid w:val="371F5751"/>
    <w:multiLevelType w:val="hybridMultilevel"/>
    <w:tmpl w:val="02F821A8"/>
    <w:lvl w:ilvl="0" w:tplc="919A6452">
      <w:start w:val="1"/>
      <w:numFmt w:val="decimal"/>
      <w:lvlText w:val="%1."/>
      <w:lvlJc w:val="left"/>
      <w:pPr>
        <w:ind w:left="720"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BD3352D"/>
    <w:multiLevelType w:val="hybridMultilevel"/>
    <w:tmpl w:val="9F04D34C"/>
    <w:lvl w:ilvl="0" w:tplc="8FA2A0FE">
      <w:start w:val="1"/>
      <w:numFmt w:val="decimal"/>
      <w:lvlText w:val="%1."/>
      <w:lvlJc w:val="left"/>
      <w:pPr>
        <w:ind w:left="360" w:hanging="360"/>
      </w:pPr>
      <w:rPr>
        <w:rFonts w:cs="David"/>
        <w:b w:val="0"/>
        <w:bCs w:val="0"/>
        <w:sz w:val="24"/>
        <w:szCs w:val="24"/>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8" w15:restartNumberingAfterBreak="0">
    <w:nsid w:val="55CF2D4C"/>
    <w:multiLevelType w:val="hybridMultilevel"/>
    <w:tmpl w:val="2C704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A56D8B"/>
    <w:multiLevelType w:val="hybridMultilevel"/>
    <w:tmpl w:val="96CA63F8"/>
    <w:lvl w:ilvl="0" w:tplc="A27613A0">
      <w:start w:val="1"/>
      <w:numFmt w:val="decimal"/>
      <w:lvlText w:val="%1."/>
      <w:lvlJc w:val="left"/>
      <w:pPr>
        <w:ind w:left="720" w:hanging="360"/>
      </w:pPr>
      <w:rPr>
        <w:rFonts w:cs="David"/>
        <w:b w:val="0"/>
        <w:bCs w:val="0"/>
        <w:sz w:val="24"/>
        <w:szCs w:val="24"/>
      </w:rPr>
    </w:lvl>
    <w:lvl w:ilvl="1" w:tplc="04090019">
      <w:start w:val="1"/>
      <w:numFmt w:val="lowerLetter"/>
      <w:lvlText w:val="%2."/>
      <w:lvlJc w:val="left"/>
      <w:pPr>
        <w:ind w:left="1440" w:hanging="360"/>
      </w:pPr>
      <w:rPr>
        <w:rFonts w:cs="Times New Roman"/>
      </w:rPr>
    </w:lvl>
    <w:lvl w:ilvl="2" w:tplc="989C2F30">
      <w:start w:val="1"/>
      <w:numFmt w:val="hebrew1"/>
      <w:lvlText w:val="%3."/>
      <w:lvlJc w:val="left"/>
      <w:pPr>
        <w:ind w:left="2700" w:hanging="720"/>
      </w:pPr>
      <w:rPr>
        <w:rFonts w:cs="David"/>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64B25E64"/>
    <w:multiLevelType w:val="hybridMultilevel"/>
    <w:tmpl w:val="4BC88BEE"/>
    <w:lvl w:ilvl="0" w:tplc="2244F854">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68FA1F47"/>
    <w:multiLevelType w:val="hybridMultilevel"/>
    <w:tmpl w:val="95707E04"/>
    <w:lvl w:ilvl="0" w:tplc="C5F4C246">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E224AD0"/>
    <w:multiLevelType w:val="hybridMultilevel"/>
    <w:tmpl w:val="F99EE7B0"/>
    <w:lvl w:ilvl="0" w:tplc="133421F4">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1C57512"/>
    <w:multiLevelType w:val="hybridMultilevel"/>
    <w:tmpl w:val="6A9A0C52"/>
    <w:lvl w:ilvl="0" w:tplc="4978E546">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8E37664"/>
    <w:multiLevelType w:val="hybridMultilevel"/>
    <w:tmpl w:val="D6400888"/>
    <w:lvl w:ilvl="0" w:tplc="C6B6E7E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FC4655C"/>
    <w:multiLevelType w:val="hybridMultilevel"/>
    <w:tmpl w:val="70E4423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8"/>
  </w:num>
  <w:num w:numId="2">
    <w:abstractNumId w:val="14"/>
  </w:num>
  <w:num w:numId="3">
    <w:abstractNumId w:val="15"/>
  </w:num>
  <w:num w:numId="4">
    <w:abstractNumId w:val="1"/>
  </w:num>
  <w:num w:numId="5">
    <w:abstractNumId w:val="3"/>
  </w:num>
  <w:num w:numId="6">
    <w:abstractNumId w:val="1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4"/>
  </w:num>
  <w:num w:numId="12">
    <w:abstractNumId w:val="1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83210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832106&amp;lt;/CaseID&amp;gt;_x000d__x000a_        &amp;lt;CaseMonth&amp;gt;11&amp;lt;/CaseMonth&amp;gt;_x000d__x000a_        &amp;lt;CaseYear&amp;gt;2020&amp;lt;/CaseYear&amp;gt;_x000d__x000a_        &amp;lt;CaseNumber&amp;gt;4655&amp;lt;/CaseNumber&amp;gt;_x000d__x000a_        &amp;lt;NumeratorGroupID&amp;gt;1&amp;lt;/NumeratorGroupID&amp;gt;_x000d__x000a_        &amp;lt;CaseName&amp;gt;כהן נ&amp;#39; ברומנד&amp;lt;/CaseName&amp;gt;_x000d__x000a_        &amp;lt;CourtID&amp;gt;33&amp;lt;/CourtID&amp;gt;_x000d__x000a_        &amp;lt;CaseTypeID&amp;gt;10262&amp;lt;/CaseTypeID&amp;gt;_x000d__x000a_        &amp;lt;CaseInterestID&amp;gt;10512&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655-11-20&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11-02T10:55:00+02:00&amp;lt;/CaseOpenDate&amp;gt;_x000d__x000a_        &amp;lt;PleaTypeID&amp;gt;4&amp;lt;/PleaTypeID&amp;gt;_x000d__x000a_        &amp;lt;CourtLevelID&amp;gt;1&amp;lt;/CourtLevelID&amp;gt;_x000d__x000a_        &amp;lt;CourtLevelCaseTypeInterestID&amp;gt;1774&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לנתבעת  זוהרה ברומנד נמסרו כל מסמכי התיק כולו במלואם היום ה- 19.9.2022 יום ב&amp;#39; שעה: 13:09_x000d__x000a_19.9.2022 לילך נתן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832106&amp;lt;/CaseID&amp;gt;_x000d__x000a_        &amp;lt;CaseMonth&amp;gt;11&amp;lt;/CaseMonth&amp;gt;_x000d__x000a_        &amp;lt;CaseYear&amp;gt;2020&amp;lt;/CaseYear&amp;gt;_x000d__x000a_        &amp;lt;CaseNumber&amp;gt;4655&amp;lt;/CaseNumber&amp;gt;_x000d__x000a_        &amp;lt;NumeratorGroupID&amp;gt;1&amp;lt;/NumeratorGroupID&amp;gt;_x000d__x000a_        &amp;lt;CaseName&amp;gt;כהן נ&amp;#39; ברומנד&amp;lt;/CaseName&amp;gt;_x000d__x000a_        &amp;lt;CourtID&amp;gt;33&amp;lt;/CourtID&amp;gt;_x000d__x000a_        &amp;lt;CaseTypeID&amp;gt;10262&amp;lt;/CaseTypeID&amp;gt;_x000d__x000a_        &amp;lt;CaseInterestID&amp;gt;10512&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655-11-20&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0-11-02T10:55:00+02:00&amp;lt;/CaseOpenDate&amp;gt;_x000d__x000a_        &amp;lt;PleaTypeID&amp;gt;4&amp;lt;/PleaTypeID&amp;gt;_x000d__x000a_        &amp;lt;CourtLevelID&amp;gt;1&amp;lt;/CourtLevelID&amp;gt;_x000d__x000a_        &amp;lt;CourtLevelCaseTypeInterestID&amp;gt;1774&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לנתבעת  זוהרה ברומנד נמסרו כל מסמכי התיק כולו במלואם היום ה- 19.9.2022 יום ב&amp;#39; שעה: 13:09_x000d__x000a_19.9.2022 לילך נתן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3919299&amp;lt;/DecisionID&amp;gt;_x000d__x000a_        &amp;lt;DecisionName&amp;gt;פסק דין  שניתנה ע&amp;quot;י  יהורם שקד&amp;lt;/DecisionName&amp;gt;_x000d__x000a_        &amp;lt;DecisionStatusID&amp;gt;1&amp;lt;/DecisionStatusID&amp;gt;_x000d__x000a_        &amp;lt;DecisionStatusChangeDate&amp;gt;2023-11-27T13:10:51.863+02:00&amp;lt;/DecisionStatusChangeDate&amp;gt;_x000d__x000a_        &amp;lt;DecisionSignatureDate&amp;gt;2023-11-27T13:10:50.363+02:00&amp;lt;/DecisionSignatureDate&amp;gt;_x000d__x000a_        &amp;lt;DecisionSignatureUserID&amp;gt;024693871@GOV.IL&amp;lt;/DecisionSignatureUserID&amp;gt;_x000d__x000a_        &amp;lt;DecisionCreateDate&amp;gt;2023-03-15T09:05:11.577+02:00&amp;lt;/DecisionCreateDate&amp;gt;_x000d__x000a_        &amp;lt;DecisionChangeDate&amp;gt;2023-11-27T13:10:52.053+02:00&amp;lt;/DecisionChangeDate&amp;gt;_x000d__x000a_        &amp;lt;DecisionChangeUserID&amp;gt;03934377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0578948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9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410727@GOV.IL&amp;lt;/DecisionCreationUserID&amp;gt;_x000d__x000a_        &amp;lt;DecisionDisplayName&amp;gt;פסק דין  שניתנה ע&amp;quot;י  יהורם שקד&amp;lt;/DecisionDisplayName&amp;gt;_x000d__x000a_        &amp;lt;IsScanned&amp;gt;false&amp;lt;/IsScanned&amp;gt;_x000d__x000a_        &amp;lt;DecisionSignatureUserName&amp;gt;יהורם שק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43919299&amp;lt;/DecisionID&amp;gt;_x000d__x000a_        &amp;lt;CaseID&amp;gt;77832106&amp;lt;/CaseID&amp;gt;_x000d__x000a_        &amp;lt;IsOriginal&amp;gt;true&amp;lt;/IsOriginal&amp;gt;_x000d__x000a_        &amp;lt;IsDeleted&amp;gt;false&amp;lt;/IsDeleted&amp;gt;_x000d__x000a_        &amp;lt;CaseName&amp;gt;כהן נ&amp;#39; ברומנד&amp;lt;/CaseName&amp;gt;_x000d__x000a_        &amp;lt;CaseDisplayIdentifier&amp;gt;4655-11-20 תלה&amp;quot;מ&amp;lt;/CaseDisplayIdentifier&amp;gt;_x000d__x000a_      &amp;lt;/dt_DecisionCase&amp;gt;_x000d__x000a_    &amp;lt;/DecisionDS&amp;gt;_x000d__x000a_  &amp;lt;/diffgr:diffgram&amp;gt;_x000d__x000a_&amp;lt;/DecisionDS&amp;gt;"/>
    <w:docVar w:name="DecisionID" w:val="143919299"/>
    <w:docVar w:name="WordClientAssemblyName" w:val="NGCS.Decision.ClientWordBL"/>
    <w:docVar w:name="WordClientClassName" w:val="NGCS.Decision.ClientWordBL.DecisionClient"/>
  </w:docVars>
  <w:rsids>
    <w:rsidRoot w:val="002914D6"/>
    <w:rsid w:val="0000467D"/>
    <w:rsid w:val="00006B56"/>
    <w:rsid w:val="00011212"/>
    <w:rsid w:val="0009530F"/>
    <w:rsid w:val="000C40F3"/>
    <w:rsid w:val="000D0AB2"/>
    <w:rsid w:val="000E19EC"/>
    <w:rsid w:val="000F1F01"/>
    <w:rsid w:val="00121C41"/>
    <w:rsid w:val="001303FD"/>
    <w:rsid w:val="001530D5"/>
    <w:rsid w:val="00157D73"/>
    <w:rsid w:val="001A6701"/>
    <w:rsid w:val="00205251"/>
    <w:rsid w:val="00214CF3"/>
    <w:rsid w:val="00242092"/>
    <w:rsid w:val="00265648"/>
    <w:rsid w:val="002802F0"/>
    <w:rsid w:val="0028476B"/>
    <w:rsid w:val="002914D6"/>
    <w:rsid w:val="002A315F"/>
    <w:rsid w:val="002C3159"/>
    <w:rsid w:val="002E7AEA"/>
    <w:rsid w:val="002F0238"/>
    <w:rsid w:val="002F5307"/>
    <w:rsid w:val="003035F1"/>
    <w:rsid w:val="0032092D"/>
    <w:rsid w:val="00327A05"/>
    <w:rsid w:val="003454ED"/>
    <w:rsid w:val="00352B6A"/>
    <w:rsid w:val="0035707B"/>
    <w:rsid w:val="0037408F"/>
    <w:rsid w:val="0038440E"/>
    <w:rsid w:val="00395290"/>
    <w:rsid w:val="003A25A7"/>
    <w:rsid w:val="003A3628"/>
    <w:rsid w:val="003C2852"/>
    <w:rsid w:val="003C4C60"/>
    <w:rsid w:val="003F141C"/>
    <w:rsid w:val="00404AFF"/>
    <w:rsid w:val="00414A69"/>
    <w:rsid w:val="00421251"/>
    <w:rsid w:val="00425365"/>
    <w:rsid w:val="00453398"/>
    <w:rsid w:val="00454D5D"/>
    <w:rsid w:val="004A1B79"/>
    <w:rsid w:val="004A55E4"/>
    <w:rsid w:val="004B6A7C"/>
    <w:rsid w:val="004C6618"/>
    <w:rsid w:val="00512665"/>
    <w:rsid w:val="0051449C"/>
    <w:rsid w:val="00531820"/>
    <w:rsid w:val="00537B85"/>
    <w:rsid w:val="00571E5F"/>
    <w:rsid w:val="005D3274"/>
    <w:rsid w:val="0060084B"/>
    <w:rsid w:val="00626CC4"/>
    <w:rsid w:val="006363C1"/>
    <w:rsid w:val="00644F70"/>
    <w:rsid w:val="00653B51"/>
    <w:rsid w:val="00653E60"/>
    <w:rsid w:val="00666802"/>
    <w:rsid w:val="00670A3C"/>
    <w:rsid w:val="00672A61"/>
    <w:rsid w:val="00673D34"/>
    <w:rsid w:val="006C4051"/>
    <w:rsid w:val="00702275"/>
    <w:rsid w:val="00714A79"/>
    <w:rsid w:val="00745284"/>
    <w:rsid w:val="00745652"/>
    <w:rsid w:val="00767175"/>
    <w:rsid w:val="007C1077"/>
    <w:rsid w:val="007C6BD7"/>
    <w:rsid w:val="007F16D0"/>
    <w:rsid w:val="00815328"/>
    <w:rsid w:val="00822AA5"/>
    <w:rsid w:val="0084269E"/>
    <w:rsid w:val="008C1714"/>
    <w:rsid w:val="008C67D2"/>
    <w:rsid w:val="008F6EE0"/>
    <w:rsid w:val="0091072C"/>
    <w:rsid w:val="009108D7"/>
    <w:rsid w:val="00937426"/>
    <w:rsid w:val="00992C09"/>
    <w:rsid w:val="0099781A"/>
    <w:rsid w:val="009A5D85"/>
    <w:rsid w:val="009B4793"/>
    <w:rsid w:val="009B6FC5"/>
    <w:rsid w:val="009C6E50"/>
    <w:rsid w:val="009F19C6"/>
    <w:rsid w:val="009F4747"/>
    <w:rsid w:val="009F4853"/>
    <w:rsid w:val="00A110F3"/>
    <w:rsid w:val="00A312FB"/>
    <w:rsid w:val="00A37258"/>
    <w:rsid w:val="00A4470E"/>
    <w:rsid w:val="00A57C48"/>
    <w:rsid w:val="00A81E02"/>
    <w:rsid w:val="00A9096B"/>
    <w:rsid w:val="00AD77E6"/>
    <w:rsid w:val="00AE4A1A"/>
    <w:rsid w:val="00AF7904"/>
    <w:rsid w:val="00B0005A"/>
    <w:rsid w:val="00B0712E"/>
    <w:rsid w:val="00B3272E"/>
    <w:rsid w:val="00B33FD1"/>
    <w:rsid w:val="00B35CA3"/>
    <w:rsid w:val="00B37F6D"/>
    <w:rsid w:val="00B72191"/>
    <w:rsid w:val="00B91584"/>
    <w:rsid w:val="00BB0899"/>
    <w:rsid w:val="00BD18F5"/>
    <w:rsid w:val="00BD5B6B"/>
    <w:rsid w:val="00C05552"/>
    <w:rsid w:val="00C269C4"/>
    <w:rsid w:val="00C40239"/>
    <w:rsid w:val="00C5754D"/>
    <w:rsid w:val="00C77625"/>
    <w:rsid w:val="00C80B08"/>
    <w:rsid w:val="00C83FBC"/>
    <w:rsid w:val="00C931BD"/>
    <w:rsid w:val="00CD0175"/>
    <w:rsid w:val="00CD3228"/>
    <w:rsid w:val="00CF0145"/>
    <w:rsid w:val="00CF7E06"/>
    <w:rsid w:val="00D13608"/>
    <w:rsid w:val="00D358FE"/>
    <w:rsid w:val="00D5267C"/>
    <w:rsid w:val="00D54B3A"/>
    <w:rsid w:val="00D56867"/>
    <w:rsid w:val="00D81F9D"/>
    <w:rsid w:val="00D8586B"/>
    <w:rsid w:val="00D956F6"/>
    <w:rsid w:val="00DB6DF6"/>
    <w:rsid w:val="00DF266A"/>
    <w:rsid w:val="00E04D21"/>
    <w:rsid w:val="00E14B84"/>
    <w:rsid w:val="00E31FE9"/>
    <w:rsid w:val="00E45A9E"/>
    <w:rsid w:val="00E76171"/>
    <w:rsid w:val="00E91AE8"/>
    <w:rsid w:val="00E9298F"/>
    <w:rsid w:val="00E92FE5"/>
    <w:rsid w:val="00EC030A"/>
    <w:rsid w:val="00EC0810"/>
    <w:rsid w:val="00EE1130"/>
    <w:rsid w:val="00F212FC"/>
    <w:rsid w:val="00F30F39"/>
    <w:rsid w:val="00F34805"/>
    <w:rsid w:val="00F50E07"/>
    <w:rsid w:val="00F50F08"/>
    <w:rsid w:val="00F706EB"/>
    <w:rsid w:val="00F83AA5"/>
    <w:rsid w:val="00F943ED"/>
    <w:rsid w:val="00FC3D4E"/>
    <w:rsid w:val="00FC4165"/>
    <w:rsid w:val="00FD0135"/>
    <w:rsid w:val="00FD2328"/>
    <w:rsid w:val="00FF011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0E49514-5A9D-4077-BA24-E25B5711C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character" w:styleId="Hyperlink">
    <w:name w:val="Hyperlink"/>
    <w:basedOn w:val="a0"/>
    <w:uiPriority w:val="99"/>
    <w:semiHidden/>
    <w:unhideWhenUsed/>
    <w:rsid w:val="00B35CA3"/>
    <w:rPr>
      <w:color w:val="0000FF"/>
      <w:u w:val="single"/>
    </w:rPr>
  </w:style>
  <w:style w:type="paragraph" w:styleId="ad">
    <w:name w:val="List Paragraph"/>
    <w:basedOn w:val="a"/>
    <w:uiPriority w:val="34"/>
    <w:qFormat/>
    <w:rsid w:val="005D3274"/>
    <w:pPr>
      <w:ind w:left="720"/>
      <w:contextualSpacing/>
    </w:pPr>
  </w:style>
  <w:style w:type="character" w:customStyle="1" w:styleId="Ruller40">
    <w:name w:val="Ruller4 תו"/>
    <w:link w:val="Ruller41"/>
    <w:locked/>
    <w:rsid w:val="00C5754D"/>
    <w:rPr>
      <w:rFonts w:ascii="Arial TUR" w:hAnsi="Arial TUR" w:cs="FrankRuehl"/>
      <w:spacing w:val="10"/>
      <w:szCs w:val="28"/>
    </w:rPr>
  </w:style>
  <w:style w:type="paragraph" w:customStyle="1" w:styleId="Ruller41">
    <w:name w:val="Ruller4"/>
    <w:basedOn w:val="a"/>
    <w:link w:val="Ruller40"/>
    <w:rsid w:val="00C5754D"/>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character" w:customStyle="1" w:styleId="Ruller42">
    <w:name w:val="Ruller 4 ממוספר תו"/>
    <w:link w:val="Ruller4"/>
    <w:locked/>
    <w:rsid w:val="00404AFF"/>
    <w:rPr>
      <w:rFonts w:ascii="Garamond" w:hAnsi="Garamond" w:cs="FrankRuehl"/>
      <w:spacing w:val="10"/>
      <w:sz w:val="24"/>
      <w:szCs w:val="28"/>
    </w:rPr>
  </w:style>
  <w:style w:type="paragraph" w:customStyle="1" w:styleId="Ruller4">
    <w:name w:val="Ruller 4 ממוספר"/>
    <w:basedOn w:val="Ruller41"/>
    <w:next w:val="Ruller41"/>
    <w:link w:val="Ruller42"/>
    <w:qFormat/>
    <w:rsid w:val="00404AFF"/>
    <w:pPr>
      <w:numPr>
        <w:numId w:val="14"/>
      </w:numPr>
    </w:pPr>
    <w:rPr>
      <w:rFonts w:ascii="Garamond" w:hAnsi="Garamo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17489">
      <w:bodyDiv w:val="1"/>
      <w:marLeft w:val="0"/>
      <w:marRight w:val="0"/>
      <w:marTop w:val="0"/>
      <w:marBottom w:val="0"/>
      <w:divBdr>
        <w:top w:val="none" w:sz="0" w:space="0" w:color="auto"/>
        <w:left w:val="none" w:sz="0" w:space="0" w:color="auto"/>
        <w:bottom w:val="none" w:sz="0" w:space="0" w:color="auto"/>
        <w:right w:val="none" w:sz="0" w:space="0" w:color="auto"/>
      </w:divBdr>
    </w:div>
    <w:div w:id="233391168">
      <w:bodyDiv w:val="1"/>
      <w:marLeft w:val="0"/>
      <w:marRight w:val="0"/>
      <w:marTop w:val="0"/>
      <w:marBottom w:val="0"/>
      <w:divBdr>
        <w:top w:val="none" w:sz="0" w:space="0" w:color="auto"/>
        <w:left w:val="none" w:sz="0" w:space="0" w:color="auto"/>
        <w:bottom w:val="none" w:sz="0" w:space="0" w:color="auto"/>
        <w:right w:val="none" w:sz="0" w:space="0" w:color="auto"/>
      </w:divBdr>
    </w:div>
    <w:div w:id="507209905">
      <w:bodyDiv w:val="1"/>
      <w:marLeft w:val="0"/>
      <w:marRight w:val="0"/>
      <w:marTop w:val="0"/>
      <w:marBottom w:val="0"/>
      <w:divBdr>
        <w:top w:val="none" w:sz="0" w:space="0" w:color="auto"/>
        <w:left w:val="none" w:sz="0" w:space="0" w:color="auto"/>
        <w:bottom w:val="none" w:sz="0" w:space="0" w:color="auto"/>
        <w:right w:val="none" w:sz="0" w:space="0" w:color="auto"/>
      </w:divBdr>
    </w:div>
    <w:div w:id="822429287">
      <w:bodyDiv w:val="1"/>
      <w:marLeft w:val="0"/>
      <w:marRight w:val="0"/>
      <w:marTop w:val="0"/>
      <w:marBottom w:val="0"/>
      <w:divBdr>
        <w:top w:val="none" w:sz="0" w:space="0" w:color="auto"/>
        <w:left w:val="none" w:sz="0" w:space="0" w:color="auto"/>
        <w:bottom w:val="none" w:sz="0" w:space="0" w:color="auto"/>
        <w:right w:val="none" w:sz="0" w:space="0" w:color="auto"/>
      </w:divBdr>
    </w:div>
    <w:div w:id="120182195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24893201">
      <w:bodyDiv w:val="1"/>
      <w:marLeft w:val="0"/>
      <w:marRight w:val="0"/>
      <w:marTop w:val="0"/>
      <w:marBottom w:val="0"/>
      <w:divBdr>
        <w:top w:val="none" w:sz="0" w:space="0" w:color="auto"/>
        <w:left w:val="none" w:sz="0" w:space="0" w:color="auto"/>
        <w:bottom w:val="none" w:sz="0" w:space="0" w:color="auto"/>
        <w:right w:val="none" w:sz="0" w:space="0" w:color="auto"/>
      </w:divBdr>
    </w:div>
    <w:div w:id="210884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6D412B"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0D3B40"/>
    <w:rsid w:val="006D412B"/>
    <w:rsid w:val="006D467C"/>
    <w:rsid w:val="00A32E59"/>
    <w:rsid w:val="00D00EC6"/>
    <w:rsid w:val="00F53BD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77832106</CaseID>
    <CaseJudicialPersonPresentationDS>
      <CaseJudicalPersonActive>
        <CaseID>77832106</CaseID>
        <JudicialPersonID>024693871@GOV.IL</JudicialPersonID>
        <JudicialPersonTypeID>1</JudicialPersonTypeID>
        <JudicialTypeID>1</JudicialTypeID>
        <IsChairman>false</IsChairman>
        <TreatmentStartDate>2020-11-02T11:00:20.86+02:00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גיל קנטרוביץ</FullName>
        <FirstName>גיל</FirstName>
        <LastName>קנטרוביץ</LastName>
        <PartyPropertyName/>
        <AuthenticationTypeAndNumber>ת"ז 057664146</AuthenticationTypeAndNumber>
        <RepresentatedOrRepresentativesNames/>
        <RepresentatedOrRepresentativesCount>0</RepresentatedOrRepresentativesCount>
        <InvitedBy/>
        <CaseID>77832106</CaseID>
        <CaseJudicialPersonPresentationDS>
          <CaseJudicalPersonActive>
            <CaseID>77832106</CaseID>
            <JudicialPersonID>024693871@GOV.IL</JudicialPersonID>
            <JudicialPersonTypeID>1</JudicialPersonTypeID>
            <JudicialTypeID>1</JudicialTypeID>
            <IsChairman>false</IsChairman>
            <TreatmentStartDate>2020-11-02T11:00:20.86+02:00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227891169</CasePartyID>
        <PartyTypeID>5</PartyTypeID>
        <ActivityStatusID>1</ActivityStatusID>
        <PartyAliasID>102</PartyAliasID>
        <PartyAliasName>מומחה בית משפט</PartyAliasName>
        <LegalEntityID>70744063</LegalEntityID>
        <CaseLegalEntityID>115730650</CaseLegalEntityID>
        <AuthenticationTypeID>1</AuthenticationTypeID>
        <AuthenticationTypeName>ת"ז</AuthenticationTypeName>
        <LegalEntityNumber>057664146</LegalEntityNumber>
        <IsMainPartyType>true</IsMainPartyType>
        <CaseDisplayIdentifier>4655-11-20</CaseDisplayIdentifier>
        <CaseTypeID>10262</CaseTypeID>
        <CaseTypeName>תביעה לאחר הסדר התדיינויות במשפחה (תלה"מ)</CaseTypeName>
        <CaseName>כהן נ' ברומנד</CaseName>
        <FullAddress>עדולם  29 שוהם </FullAddress>
        <MotionID>0</MotionID>
        <CasePleaID>0</CasePleaID>
        <FatherName xml:space="preserve">        </FatherName>
        <LinkedCaseID>0</LinkedCaseID>
        <CasePartyCategoryID>1</CasePartyCategoryID>
        <LegalEntityAddressID>82401479</LegalEntityAddressID>
        <PleaTypeID>4</PleaTypeID>
        <GroupPartyAlias/>
        <IsConverted>false</IsConverted>
        <RepresentatedNamesOfAssistant/>
        <LegalEntityTypeID>6</LegalEntityTypeID>
        <IsVerdictExists>false</IsVerdictExists>
        <IsAsirAzir>false</IsAsirAzir>
        <IsPublicationProhibited>false</IsPublicationProhibited>
        <PublicationProhibitedFullName>גיל קנטרוביץ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קרין מלכה בר כליפא</FullName>
        <FirstName>קרין</FirstName>
        <LastName>מלכה בר כליפא</LastName>
        <PartyPropertyName/>
        <AuthenticationTypeAndNumber>מ.ר. 40670</AuthenticationTypeAndNumber>
        <RepresentatedOrRepresentativesNames>יוסף כהן</RepresentatedOrRepresentativesNames>
        <RepresentatedOrRepresentativesCount>1</RepresentatedOrRepresentativesCount>
        <InvitedBy/>
        <CaseID>77832106</CaseID>
        <CaseJudicialPersonPresentationDS>
          <CaseJudicalPersonActive>
            <CaseID>77832106</CaseID>
            <JudicialPersonID>024693871@GOV.IL</JudicialPersonID>
            <JudicialPersonTypeID>1</JudicialPersonTypeID>
            <JudicialTypeID>1</JudicialTypeID>
            <IsChairman>false</IsChairman>
            <TreatmentStartDate>2020-11-02T11:00:20.86+02:00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218557627</CasePartyID>
        <PartyTypeID>2</PartyTypeID>
        <ActivityStatusID>1</ActivityStatusID>
        <PartyAliasID>20</PartyAliasID>
        <PartyAliasName>בא כוח תובעים</PartyAliasName>
        <LegalEntityID>415787</LegalEntityID>
        <CaseLegalEntityID>113024243</CaseLegalEntityID>
        <AuthenticationTypeID>4</AuthenticationTypeID>
        <AuthenticationTypeName>מ.ר.</AuthenticationTypeName>
        <LegalEntityNumber>40670</LegalEntityNumber>
        <IsMainPartyType>true</IsMainPartyType>
        <CaseDisplayIdentifier>4655-11-20</CaseDisplayIdentifier>
        <CaseTypeID>10262</CaseTypeID>
        <CaseTypeName>תביעה לאחר הסדר התדיינויות במשפחה (תלה"מ)</CaseTypeName>
        <CaseName>כהן נ' ברומנד</CaseName>
        <FullAddress>מוטה גור 9 פתח תקווה </FullAddress>
        <EmailAddress>karinbark864@gmail.com</EmailAddress>
        <MotionID>0</MotionID>
        <CasePleaID>0</CasePleaID>
        <LinkedCaseID>0</LinkedCaseID>
        <PartyID>1</PartyID>
        <CasePartyCategoryID>2</CasePartyCategoryID>
        <LegalEntityAddressID>77158085</LegalEntityAddressID>
        <LegalEntityEmailAddressID>67875504</LegalEntityEmailAddressID>
        <PleaTypeID>4</PleaTypeID>
        <LawyerOfficeName>משרד עו"ד:בלינסון-שפרן</LawyerOfficeName>
        <LawyerOfficeID>456431</LawyerOfficeID>
        <GroupPartyAlias/>
        <IsConverted>false</IsConverted>
        <RepresentatedNamesOfAssistant/>
        <LegalEntityTypeID>4</LegalEntityTypeID>
        <IsVerdictExists>false</IsVerdictExists>
        <IsAsirAzir>false</IsAsirAzir>
        <IsPublicationProhibited>false</IsPublicationProhibited>
        <PublicationProhibitedFullName>קרין מלכה בר כליפא</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טל גרינברג</FullName>
        <FirstName>טל</FirstName>
        <LastName>גרינברג</LastName>
        <PartyPropertyName/>
        <AuthenticationTypeAndNumber>מ.ר. 45899</AuthenticationTypeAndNumber>
        <RepresentatedOrRepresentativesNames>זוהרה ברומנד</RepresentatedOrRepresentativesNames>
        <RepresentatedOrRepresentativesCount>1</RepresentatedOrRepresentativesCount>
        <InvitedBy/>
        <CaseID>77832106</CaseID>
        <CaseJudicialPersonPresentationDS>
          <CaseJudicalPersonActive>
            <CaseID>77832106</CaseID>
            <JudicialPersonID>024693871@GOV.IL</JudicialPersonID>
            <JudicialPersonTypeID>1</JudicialPersonTypeID>
            <JudicialTypeID>1</JudicialTypeID>
            <IsChairman>false</IsChairman>
            <TreatmentStartDate>2020-11-02T11:00:20.86+02:00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223705525</CasePartyID>
        <PartyTypeID>2</PartyTypeID>
        <ActivityStatusID>1</ActivityStatusID>
        <PartyAliasID>21</PartyAliasID>
        <PartyAliasName>בא כוח נתבעים</PartyAliasName>
        <LegalEntityID>15881492</LegalEntityID>
        <CaseLegalEntityID>114493247</CaseLegalEntityID>
        <AuthenticationTypeID>4</AuthenticationTypeID>
        <AuthenticationTypeName>מ.ר.</AuthenticationTypeName>
        <LegalEntityNumber>45899</LegalEntityNumber>
        <IsMainPartyType>true</IsMainPartyType>
        <CaseDisplayIdentifier>4655-11-20</CaseDisplayIdentifier>
        <CaseTypeID>10262</CaseTypeID>
        <CaseTypeName>תביעה לאחר הסדר התדיינויות במשפחה (תלה"מ)</CaseTypeName>
        <CaseName>כהן נ' ברומנד</CaseName>
        <FullAddress>יגאל אלון 94 תל אביב - יפו קומה 12</FullAddress>
        <MotionID>0</MotionID>
        <CasePleaID>0</CasePleaID>
        <LinkedCaseID>0</LinkedCaseID>
        <PartyID>2</PartyID>
        <CasePartyCategoryID>2</CasePartyCategoryID>
        <LegalEntityAddressID>81858634</LegalEntityAddressID>
        <PleaTypeID>4</PleaTypeID>
        <LawyerOfficeName>משרד עו"ד טל גרינברג</LawyerOfficeName>
        <LawyerOfficeID>15881493</LawyerOfficeID>
        <GroupPartyAlias/>
        <IsConverted>false</IsConverted>
        <RepresentatedNamesOfAssistant/>
        <LegalEntityTypeID>4</LegalEntityTypeID>
        <IsVerdictExists>false</IsVerdictExists>
        <IsAsirAzir>false</IsAsirAzir>
        <IsPublicationProhibited>false</IsPublicationProhibited>
        <PublicationProhibitedFullName>טל גרינברג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אברהם גפן</FullName>
        <FirstName>אברהם</FirstName>
        <LastName>גפן</LastName>
        <PartyPropertyName/>
        <AuthenticationTypeAndNumber>מ.ר. 27511</AuthenticationTypeAndNumber>
        <RepresentatedOrRepresentativesNames>זוהרה ברומנד</RepresentatedOrRepresentativesNames>
        <RepresentatedOrRepresentativesCount>1</RepresentatedOrRepresentativesCount>
        <InvitedBy/>
        <CaseID>77832106</CaseID>
        <CaseJudicialPersonPresentationDS>
          <CaseJudicalPersonActive>
            <CaseID>77832106</CaseID>
            <JudicialPersonID>024693871@GOV.IL</JudicialPersonID>
            <JudicialPersonTypeID>1</JudicialPersonTypeID>
            <JudicialTypeID>1</JudicialTypeID>
            <IsChairman>false</IsChairman>
            <TreatmentStartDate>2020-11-02T11:00:20.86+02:00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231978211</CasePartyID>
        <PartyTypeID>2</PartyTypeID>
        <ActivityStatusID>1</ActivityStatusID>
        <PartyAliasID>21</PartyAliasID>
        <PartyAliasName>בא כוח נתבעים</PartyAliasName>
        <LegalEntityID>386074</LegalEntityID>
        <CaseLegalEntityID>117036003</CaseLegalEntityID>
        <AuthenticationTypeID>4</AuthenticationTypeID>
        <AuthenticationTypeName>מ.ר.</AuthenticationTypeName>
        <LegalEntityNumber>27511</LegalEntityNumber>
        <IsMainPartyType>true</IsMainPartyType>
        <CaseDisplayIdentifier>4655-11-20</CaseDisplayIdentifier>
        <CaseTypeID>10262</CaseTypeID>
        <CaseTypeName>תביעה לאחר הסדר התדיינויות במשפחה (תלה"מ)</CaseTypeName>
        <CaseName>כהן נ' ברומנד</CaseName>
        <FullAddress>כנרת 5 בני ברק </FullAddress>
        <EmailAddress>avi@avigeffen.com</EmailAddress>
        <MotionID>0</MotionID>
        <CasePleaID>0</CasePleaID>
        <LinkedCaseID>0</LinkedCaseID>
        <PartyID>2</PartyID>
        <CasePartyCategoryID>2</CasePartyCategoryID>
        <LegalEntityAddressID>74848801</LegalEntityAddressID>
        <LegalEntityEmailAddressID>67891859</LegalEntityEmailAddressID>
        <PleaTypeID>4</PleaTypeID>
        <LawyerOfficeName>משרד עו"ד: אברהם גפן</LawyerOfficeName>
        <LawyerOfficeID>426718</LawyerOfficeID>
        <GroupPartyAlias/>
        <IsConverted>false</IsConverted>
        <RepresentatedNamesOfAssistant/>
        <LegalEntityTypeID>4</LegalEntityTypeID>
        <IsVerdictExists>false</IsVerdictExists>
        <IsAsirAzir>false</IsAsirAzir>
        <IsPublicationProhibited>false</IsPublicationProhibited>
        <PublicationProhibitedFullName>אברהם גפן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יוסף כהן</FullName>
        <FirstName>יוסף</FirstName>
        <LastName>כהן</LastName>
        <PartyPropertyName/>
        <AuthenticationTypeAndNumber>ת"ז 055504203</AuthenticationTypeAndNumber>
        <RepresentatedOrRepresentativesNames>מיטל וולבדכט, קרין מלכה בר כליפא</RepresentatedOrRepresentativesNames>
        <RepresentatedOrRepresentativesCount>2</RepresentatedOrRepresentativesCount>
        <InvitedBy/>
        <CaseID>77832106</CaseID>
        <CaseJudicialPersonPresentationDS>
          <CaseJudicalPersonActive>
            <CaseID>77832106</CaseID>
            <JudicialPersonID>024693871@GOV.IL</JudicialPersonID>
            <JudicialPersonTypeID>1</JudicialPersonTypeID>
            <JudicialTypeID>1</JudicialTypeID>
            <IsChairman>false</IsChairman>
            <TreatmentStartDate>2020-11-02T11:00:20.86+02:00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218170190</CasePartyID>
        <PartyTypeID>1</PartyTypeID>
        <ActivityStatusID>1</ActivityStatusID>
        <PartyAliasID>1</PartyAliasID>
        <PartyAliasName>תובע</PartyAliasName>
        <OrdinalNumber>1</OrdinalNumber>
        <LegalEntityID>16649025</LegalEntityID>
        <CaseLegalEntityID>112906093</CaseLegalEntityID>
        <AuthenticationTypeID>1</AuthenticationTypeID>
        <AuthenticationTypeName>ת"ז</AuthenticationTypeName>
        <LegalEntityNumber>055504203</LegalEntityNumber>
        <IsMainPartyType>true</IsMainPartyType>
        <CaseDisplayIdentifier>4655-11-20</CaseDisplayIdentifier>
        <CaseTypeID>10262</CaseTypeID>
        <CaseTypeName>תביעה לאחר הסדר התדיינויות במשפחה (תלה"מ)</CaseTypeName>
        <CaseName>כהן נ' ברומנד</CaseName>
        <FullAddress/>
        <MotionID>0</MotionID>
        <CasePleaID>0</CasePleaID>
        <BirthDate>1958-11-28T00:00:00+02:00</BirthDate>
        <FatherName>דוד     </FatherName>
        <LinkedCaseID>0</LinkedCaseID>
        <PartyID>1</PartyID>
        <CasePartyCategoryID>2</CasePartyCategoryID>
        <PleaTypeID>4</PleaTypeID>
        <GroupPartyAlias>תובעים</GroupPartyAlias>
        <IsConverted>false</IsConverte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מיטל וולבדכט</FullName>
        <FirstName>מיטל</FirstName>
        <LastName>וולבדכט</LastName>
        <PartyPropertyName/>
        <AuthenticationTypeAndNumber>מ.ר. 40407</AuthenticationTypeAndNumber>
        <RepresentatedOrRepresentativesNames>יוסף כהן</RepresentatedOrRepresentativesNames>
        <RepresentatedOrRepresentativesCount>1</RepresentatedOrRepresentativesCount>
        <InvitedBy/>
        <CaseID>77832106</CaseID>
        <CaseJudicialPersonPresentationDS>
          <CaseJudicalPersonActive>
            <CaseID>77832106</CaseID>
            <JudicialPersonID>024693871@GOV.IL</JudicialPersonID>
            <JudicialPersonTypeID>1</JudicialPersonTypeID>
            <JudicialTypeID>1</JudicialTypeID>
            <IsChairman>false</IsChairman>
            <TreatmentStartDate>2020-11-02T11:00:20.86+02:00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218170191</CasePartyID>
        <PartyTypeID>2</PartyTypeID>
        <ActivityStatusID>1</ActivityStatusID>
        <PartyAliasID>20</PartyAliasID>
        <PartyAliasName>בא כוח תובעים</PartyAliasName>
        <OrdinalNumber>1</OrdinalNumber>
        <LegalEntityID>415273</LegalEntityID>
        <CaseLegalEntityID>112906094</CaseLegalEntityID>
        <AuthenticationTypeID>4</AuthenticationTypeID>
        <AuthenticationTypeName>מ.ר.</AuthenticationTypeName>
        <LegalEntityNumber>40407</LegalEntityNumber>
        <IsMainPartyType>true</IsMainPartyType>
        <CaseDisplayIdentifier>4655-11-20</CaseDisplayIdentifier>
        <CaseTypeID>10262</CaseTypeID>
        <CaseTypeName>תביעה לאחר הסדר התדיינויות במשפחה (תלה"מ)</CaseTypeName>
        <CaseName>כהן נ' ברומנד</CaseName>
        <FullAddress>שמואל הנציב 24 נתניה .</FullAddress>
        <MotionID>0</MotionID>
        <CasePleaID>0</CasePleaID>
        <FatherName xml:space="preserve">        </FatherName>
        <LinkedCaseID>0</LinkedCaseID>
        <PartyID>1</PartyID>
        <CasePartyCategoryID>2</CasePartyCategoryID>
        <LegalEntityAddressID>72942259</LegalEntityAddressID>
        <PleaTypeID>4</PleaTypeID>
        <LawyerOfficeName>משרד עו"ד: מיטל וולבדכט</LawyerOfficeName>
        <LawyerOfficeID>455917</LawyerOfficeID>
        <GroupPartyAlias/>
        <IsConverted>false</IsConverted>
        <RepresentatedNamesOfAssistant/>
        <LegalEntityTypeID>4</LegalEntityTypeID>
        <IsVerdictExists>false</IsVerdictExists>
        <IsAsirAzir>false</IsAsirAzir>
        <IsPublicationProhibited>false</IsPublicationProhibited>
        <PublicationProhibitedFullName>מיטל וולבדכט</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זוהרה ברומנד</FullName>
        <FirstName>זוהרה</FirstName>
        <LastName>ברומנד</LastName>
        <PartyPropertyName/>
        <AuthenticationTypeAndNumber>ת"ז 068937077</AuthenticationTypeAndNumber>
        <RepresentatedOrRepresentativesNames>אברהם גפן, טל גרינברג</RepresentatedOrRepresentativesNames>
        <RepresentatedOrRepresentativesCount>2</RepresentatedOrRepresentativesCount>
        <InvitedBy/>
        <CaseID>77832106</CaseID>
        <CaseJudicialPersonPresentationDS>
          <CaseJudicalPersonActive>
            <CaseID>77832106</CaseID>
            <JudicialPersonID>024693871@GOV.IL</JudicialPersonID>
            <JudicialPersonTypeID>1</JudicialPersonTypeID>
            <JudicialTypeID>1</JudicialTypeID>
            <IsChairman>false</IsChairman>
            <TreatmentStartDate>2020-11-02T11:00:20.86+02:00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218170192</CasePartyID>
        <PartyTypeID>1</PartyTypeID>
        <ActivityStatusID>1</ActivityStatusID>
        <PartyAliasID>2</PartyAliasID>
        <PartyAliasName>נתבע</PartyAliasName>
        <OrdinalNumber>1</OrdinalNumber>
        <LegalEntityID>1506744</LegalEntityID>
        <CaseLegalEntityID>112906095</CaseLegalEntityID>
        <AuthenticationTypeID>1</AuthenticationTypeID>
        <AuthenticationTypeName>ת"ז</AuthenticationTypeName>
        <LegalEntityNumber>068937077</LegalEntityNumber>
        <IsMainPartyType>true</IsMainPartyType>
        <CaseDisplayIdentifier>4655-11-20</CaseDisplayIdentifier>
        <CaseTypeID>10262</CaseTypeID>
        <CaseTypeName>תביעה לאחר הסדר התדיינויות במשפחה (תלה"מ)</CaseTypeName>
        <CaseName>כהן נ' ברומנד</CaseName>
        <FullAddress>בר לב 108 תל אביב - יפו </FullAddress>
        <MotionID>0</MotionID>
        <CasePleaID>0</CasePleaID>
        <BirthDate>1960-01-01T00:00:00+02:00</BirthDate>
        <FatherName>עבדוללה </FatherName>
        <LinkedCaseID>0</LinkedCaseID>
        <PartyID>2</PartyID>
        <CasePartyCategoryID>2</CasePartyCategoryID>
        <LegalEntityAddressID>84480632</LegalEntityAddressID>
        <PleaTypeID>4</PleaTypeID>
        <GroupPartyAlias>נתבעים</GroupPartyAlias>
        <IsConverted>false</IsConverte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זוהרה ברומנד</PublicationProhibitedFullName>
      </CaseParties>
    </CasePartiesSelectionDS>
    <DecisionName>פסק דין  שניתנה ע"י  יהורם שקד</DecisionName>
    <CourtDisplayName>בית משפט לענייני משפחה בתל אביב - יפו</CourtDisplayName>
    <IsCaseJudgePanel>false</IsCaseJudgePanel>
    <DecisionSignatureDate>2023-03-15T08:50:01.7121081+02:00</DecisionSignatureDate>
    <OpenCaseDate>2020-11-02T10:55:00+02:00</OpenCaseDate>
    <CaseFeeSum>255000.000</CaseFeeSum>
    <DecisionTypeID>2</DecisionTypeID>
    <DecisionSignatureUserName>יהורם שקד</DecisionSignatureUserName>
    <DecisionSignatureDateHebrew>2023-03-15T08:50:01.7121081+02:00</DecisionSignatureDateHebrew>
    <DecisionWriterID>024693871@GOV.IL</DecisionWriterID>
    <CourtAddress>רח' ויצמן 1, תל אביב - יפו 64239</CourtAddress>
    <IsAutoTextInCaseExist>false</IsAutoTextInCaseExist>
    <DecisionSignatureRoleName>שופט</DecisionSignatureRoleName>
    <DecisionSignatureUserTitleName>שופט</DecisionSignatureUserTitleName>
    <CaseName>כהן נ' ברומנד</CaseName>
    <DecisionNumberInCase>3</DecisionNumberInCase>
  </dt_Decision>
  <dt_DecisionCase>
    <DecisionID>0</DecisionID>
    <CaseID>77832106</CaseID>
    <CaseJudicialPersonPresentationDS>
      <CaseJudicalPersonActive>
        <CaseID>77832106</CaseID>
        <JudicialPersonID>024693871@GOV.IL</JudicialPersonID>
        <JudicialPersonTypeID>1</JudicialPersonTypeID>
        <JudicialTypeID>1</JudicialTypeID>
        <IsChairman>false</IsChairman>
        <TreatmentStartDate>2020-11-02T11:00:20.86+02:00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גיל קנטרוביץ</FullName>
        <FirstName>גיל</FirstName>
        <LastName>קנטרוביץ</LastName>
        <PartyPropertyName/>
        <AuthenticationTypeAndNumber>ת"ז 057664146</AuthenticationTypeAndNumber>
        <RepresentatedOrRepresentativesNames/>
        <RepresentatedOrRepresentativesCount>0</RepresentatedOrRepresentativesCount>
        <InvitedBy/>
        <CaseID>77832106</CaseID>
        <CaseJudicialPersonPresentationDS>
          <CaseJudicalPersonActive>
            <CaseID>77832106</CaseID>
            <JudicialPersonID>024693871@GOV.IL</JudicialPersonID>
            <JudicialPersonTypeID>1</JudicialPersonTypeID>
            <JudicialTypeID>1</JudicialTypeID>
            <IsChairman>false</IsChairman>
            <TreatmentStartDate>2020-11-02T11:00:20.86+02:00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227891169</CasePartyID>
        <PartyTypeID>5</PartyTypeID>
        <ActivityStatusID>1</ActivityStatusID>
        <PartyAliasID>102</PartyAliasID>
        <PartyAliasName>מומחה בית משפט</PartyAliasName>
        <LegalEntityID>70744063</LegalEntityID>
        <CaseLegalEntityID>115730650</CaseLegalEntityID>
        <AuthenticationTypeID>1</AuthenticationTypeID>
        <AuthenticationTypeName>ת"ז</AuthenticationTypeName>
        <LegalEntityNumber>057664146</LegalEntityNumber>
        <IsMainPartyType>true</IsMainPartyType>
        <CaseDisplayIdentifier>4655-11-20</CaseDisplayIdentifier>
        <CaseTypeID>10262</CaseTypeID>
        <CaseTypeName>תביעה לאחר הסדר התדיינויות במשפחה (תלה"מ)</CaseTypeName>
        <CaseName>כהן נ' ברומנד</CaseName>
        <FullAddress>עדולם  29 שוהם </FullAddress>
        <MotionID>0</MotionID>
        <CasePleaID>0</CasePleaID>
        <FatherName xml:space="preserve">        </FatherName>
        <LinkedCaseID>0</LinkedCaseID>
        <CasePartyCategoryID>1</CasePartyCategoryID>
        <LegalEntityAddressID>82401479</LegalEntityAddressID>
        <PleaTypeID>4</PleaTypeID>
        <GroupPartyAlias/>
        <IsConverted>false</IsConverted>
        <RepresentatedNamesOfAssistant/>
        <LegalEntityTypeID>6</LegalEntityTypeID>
        <IsVerdictExists>false</IsVerdictExists>
        <IsAsirAzir>false</IsAsirAzir>
        <IsPublicationProhibited>false</IsPublicationProhibited>
        <PublicationProhibitedFullName>גיל קנטרוביץ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קרין מלכה בר כליפא</FullName>
        <FirstName>קרין</FirstName>
        <LastName>מלכה בר כליפא</LastName>
        <PartyPropertyName/>
        <AuthenticationTypeAndNumber>מ.ר. 40670</AuthenticationTypeAndNumber>
        <RepresentatedOrRepresentativesNames>יוסף כהן</RepresentatedOrRepresentativesNames>
        <RepresentatedOrRepresentativesCount>1</RepresentatedOrRepresentativesCount>
        <InvitedBy/>
        <CaseID>77832106</CaseID>
        <CaseJudicialPersonPresentationDS>
          <CaseJudicalPersonActive>
            <CaseID>77832106</CaseID>
            <JudicialPersonID>024693871@GOV.IL</JudicialPersonID>
            <JudicialPersonTypeID>1</JudicialPersonTypeID>
            <JudicialTypeID>1</JudicialTypeID>
            <IsChairman>false</IsChairman>
            <TreatmentStartDate>2020-11-02T11:00:20.86+02:00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218557627</CasePartyID>
        <PartyTypeID>2</PartyTypeID>
        <ActivityStatusID>1</ActivityStatusID>
        <PartyAliasID>20</PartyAliasID>
        <PartyAliasName>בא כוח תובעים</PartyAliasName>
        <LegalEntityID>415787</LegalEntityID>
        <CaseLegalEntityID>113024243</CaseLegalEntityID>
        <AuthenticationTypeID>4</AuthenticationTypeID>
        <AuthenticationTypeName>מ.ר.</AuthenticationTypeName>
        <LegalEntityNumber>40670</LegalEntityNumber>
        <IsMainPartyType>true</IsMainPartyType>
        <CaseDisplayIdentifier>4655-11-20</CaseDisplayIdentifier>
        <CaseTypeID>10262</CaseTypeID>
        <CaseTypeName>תביעה לאחר הסדר התדיינויות במשפחה (תלה"מ)</CaseTypeName>
        <CaseName>כהן נ' ברומנד</CaseName>
        <FullAddress>מוטה גור 9 פתח תקווה </FullAddress>
        <EmailAddress>karinbark864@gmail.com</EmailAddress>
        <MotionID>0</MotionID>
        <CasePleaID>0</CasePleaID>
        <LinkedCaseID>0</LinkedCaseID>
        <PartyID>1</PartyID>
        <CasePartyCategoryID>2</CasePartyCategoryID>
        <LegalEntityAddressID>77158085</LegalEntityAddressID>
        <LegalEntityEmailAddressID>67875504</LegalEntityEmailAddressID>
        <PleaTypeID>4</PleaTypeID>
        <LawyerOfficeName>משרד עו"ד:בלינסון-שפרן</LawyerOfficeName>
        <LawyerOfficeID>456431</LawyerOfficeID>
        <GroupPartyAlias/>
        <IsConverted>false</IsConverted>
        <RepresentatedNamesOfAssistant/>
        <LegalEntityTypeID>4</LegalEntityTypeID>
        <IsVerdictExists>false</IsVerdictExists>
        <IsAsirAzir>false</IsAsirAzir>
        <IsPublicationProhibited>false</IsPublicationProhibited>
        <PublicationProhibitedFullName>קרין מלכה בר כליפא</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טל גרינברג</FullName>
        <FirstName>טל</FirstName>
        <LastName>גרינברג</LastName>
        <PartyPropertyName/>
        <AuthenticationTypeAndNumber>מ.ר. 45899</AuthenticationTypeAndNumber>
        <RepresentatedOrRepresentativesNames>זוהרה ברומנד</RepresentatedOrRepresentativesNames>
        <RepresentatedOrRepresentativesCount>1</RepresentatedOrRepresentativesCount>
        <InvitedBy/>
        <CaseID>77832106</CaseID>
        <CaseJudicialPersonPresentationDS>
          <CaseJudicalPersonActive>
            <CaseID>77832106</CaseID>
            <JudicialPersonID>024693871@GOV.IL</JudicialPersonID>
            <JudicialPersonTypeID>1</JudicialPersonTypeID>
            <JudicialTypeID>1</JudicialTypeID>
            <IsChairman>false</IsChairman>
            <TreatmentStartDate>2020-11-02T11:00:20.86+02:00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223705525</CasePartyID>
        <PartyTypeID>2</PartyTypeID>
        <ActivityStatusID>1</ActivityStatusID>
        <PartyAliasID>21</PartyAliasID>
        <PartyAliasName>בא כוח נתבעים</PartyAliasName>
        <LegalEntityID>15881492</LegalEntityID>
        <CaseLegalEntityID>114493247</CaseLegalEntityID>
        <AuthenticationTypeID>4</AuthenticationTypeID>
        <AuthenticationTypeName>מ.ר.</AuthenticationTypeName>
        <LegalEntityNumber>45899</LegalEntityNumber>
        <IsMainPartyType>true</IsMainPartyType>
        <CaseDisplayIdentifier>4655-11-20</CaseDisplayIdentifier>
        <CaseTypeID>10262</CaseTypeID>
        <CaseTypeName>תביעה לאחר הסדר התדיינויות במשפחה (תלה"מ)</CaseTypeName>
        <CaseName>כהן נ' ברומנד</CaseName>
        <FullAddress>יגאל אלון 94 תל אביב - יפו קומה 12</FullAddress>
        <MotionID>0</MotionID>
        <CasePleaID>0</CasePleaID>
        <LinkedCaseID>0</LinkedCaseID>
        <PartyID>2</PartyID>
        <CasePartyCategoryID>2</CasePartyCategoryID>
        <LegalEntityAddressID>81858634</LegalEntityAddressID>
        <PleaTypeID>4</PleaTypeID>
        <LawyerOfficeName>משרד עו"ד טל גרינברג</LawyerOfficeName>
        <LawyerOfficeID>15881493</LawyerOfficeID>
        <GroupPartyAlias/>
        <IsConverted>false</IsConverted>
        <RepresentatedNamesOfAssistant/>
        <LegalEntityTypeID>4</LegalEntityTypeID>
        <IsVerdictExists>false</IsVerdictExists>
        <IsAsirAzir>false</IsAsirAzir>
        <IsPublicationProhibited>false</IsPublicationProhibited>
        <PublicationProhibitedFullName>טל גרינברג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אברהם גפן</FullName>
        <FirstName>אברהם</FirstName>
        <LastName>גפן</LastName>
        <PartyPropertyName/>
        <AuthenticationTypeAndNumber>מ.ר. 27511</AuthenticationTypeAndNumber>
        <RepresentatedOrRepresentativesNames>זוהרה ברומנד</RepresentatedOrRepresentativesNames>
        <RepresentatedOrRepresentativesCount>1</RepresentatedOrRepresentativesCount>
        <InvitedBy/>
        <CaseID>77832106</CaseID>
        <CaseJudicialPersonPresentationDS>
          <CaseJudicalPersonActive>
            <CaseID>77832106</CaseID>
            <JudicialPersonID>024693871@GOV.IL</JudicialPersonID>
            <JudicialPersonTypeID>1</JudicialPersonTypeID>
            <JudicialTypeID>1</JudicialTypeID>
            <IsChairman>false</IsChairman>
            <TreatmentStartDate>2020-11-02T11:00:20.86+02:00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231978211</CasePartyID>
        <PartyTypeID>2</PartyTypeID>
        <ActivityStatusID>1</ActivityStatusID>
        <PartyAliasID>21</PartyAliasID>
        <PartyAliasName>בא כוח נתבעים</PartyAliasName>
        <LegalEntityID>386074</LegalEntityID>
        <CaseLegalEntityID>117036003</CaseLegalEntityID>
        <AuthenticationTypeID>4</AuthenticationTypeID>
        <AuthenticationTypeName>מ.ר.</AuthenticationTypeName>
        <LegalEntityNumber>27511</LegalEntityNumber>
        <IsMainPartyType>true</IsMainPartyType>
        <CaseDisplayIdentifier>4655-11-20</CaseDisplayIdentifier>
        <CaseTypeID>10262</CaseTypeID>
        <CaseTypeName>תביעה לאחר הסדר התדיינויות במשפחה (תלה"מ)</CaseTypeName>
        <CaseName>כהן נ' ברומנד</CaseName>
        <FullAddress>כנרת 5 בני ברק </FullAddress>
        <EmailAddress>avi@avigeffen.com</EmailAddress>
        <MotionID>0</MotionID>
        <CasePleaID>0</CasePleaID>
        <LinkedCaseID>0</LinkedCaseID>
        <PartyID>2</PartyID>
        <CasePartyCategoryID>2</CasePartyCategoryID>
        <LegalEntityAddressID>74848801</LegalEntityAddressID>
        <LegalEntityEmailAddressID>67891859</LegalEntityEmailAddressID>
        <PleaTypeID>4</PleaTypeID>
        <LawyerOfficeName>משרד עו"ד: אברהם גפן</LawyerOfficeName>
        <LawyerOfficeID>426718</LawyerOfficeID>
        <GroupPartyAlias/>
        <IsConverted>false</IsConverted>
        <RepresentatedNamesOfAssistant/>
        <LegalEntityTypeID>4</LegalEntityTypeID>
        <IsVerdictExists>false</IsVerdictExists>
        <IsAsirAzir>false</IsAsirAzir>
        <IsPublicationProhibited>false</IsPublicationProhibited>
        <PublicationProhibitedFullName>אברהם גפן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יוסף כהן</FullName>
        <FirstName>יוסף</FirstName>
        <LastName>כהן</LastName>
        <PartyPropertyName/>
        <AuthenticationTypeAndNumber>ת"ז 055504203</AuthenticationTypeAndNumber>
        <RepresentatedOrRepresentativesNames>מיטל וולבדכט, קרין מלכה בר כליפא</RepresentatedOrRepresentativesNames>
        <RepresentatedOrRepresentativesCount>2</RepresentatedOrRepresentativesCount>
        <InvitedBy/>
        <CaseID>77832106</CaseID>
        <CaseJudicialPersonPresentationDS>
          <CaseJudicalPersonActive>
            <CaseID>77832106</CaseID>
            <JudicialPersonID>024693871@GOV.IL</JudicialPersonID>
            <JudicialPersonTypeID>1</JudicialPersonTypeID>
            <JudicialTypeID>1</JudicialTypeID>
            <IsChairman>false</IsChairman>
            <TreatmentStartDate>2020-11-02T11:00:20.86+02:00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218170190</CasePartyID>
        <PartyTypeID>1</PartyTypeID>
        <ActivityStatusID>1</ActivityStatusID>
        <PartyAliasID>1</PartyAliasID>
        <PartyAliasName>תובע</PartyAliasName>
        <OrdinalNumber>1</OrdinalNumber>
        <LegalEntityID>16649025</LegalEntityID>
        <CaseLegalEntityID>112906093</CaseLegalEntityID>
        <AuthenticationTypeID>1</AuthenticationTypeID>
        <AuthenticationTypeName>ת"ז</AuthenticationTypeName>
        <LegalEntityNumber>055504203</LegalEntityNumber>
        <IsMainPartyType>true</IsMainPartyType>
        <CaseDisplayIdentifier>4655-11-20</CaseDisplayIdentifier>
        <CaseTypeID>10262</CaseTypeID>
        <CaseTypeName>תביעה לאחר הסדר התדיינויות במשפחה (תלה"מ)</CaseTypeName>
        <CaseName>כהן נ' ברומנד</CaseName>
        <FullAddress/>
        <MotionID>0</MotionID>
        <CasePleaID>0</CasePleaID>
        <BirthDate>1958-11-28T00:00:00+02:00</BirthDate>
        <FatherName>דוד     </FatherName>
        <LinkedCaseID>0</LinkedCaseID>
        <PartyID>1</PartyID>
        <CasePartyCategoryID>2</CasePartyCategoryID>
        <PleaTypeID>4</PleaTypeID>
        <GroupPartyAlias>תובעים</GroupPartyAlias>
        <IsConverted>false</IsConverte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מיטל וולבדכט</FullName>
        <FirstName>מיטל</FirstName>
        <LastName>וולבדכט</LastName>
        <PartyPropertyName/>
        <AuthenticationTypeAndNumber>מ.ר. 40407</AuthenticationTypeAndNumber>
        <RepresentatedOrRepresentativesNames>יוסף כהן</RepresentatedOrRepresentativesNames>
        <RepresentatedOrRepresentativesCount>1</RepresentatedOrRepresentativesCount>
        <InvitedBy/>
        <CaseID>77832106</CaseID>
        <CaseJudicialPersonPresentationDS>
          <CaseJudicalPersonActive>
            <CaseID>77832106</CaseID>
            <JudicialPersonID>024693871@GOV.IL</JudicialPersonID>
            <JudicialPersonTypeID>1</JudicialPersonTypeID>
            <JudicialTypeID>1</JudicialTypeID>
            <IsChairman>false</IsChairman>
            <TreatmentStartDate>2020-11-02T11:00:20.86+02:00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218170191</CasePartyID>
        <PartyTypeID>2</PartyTypeID>
        <ActivityStatusID>1</ActivityStatusID>
        <PartyAliasID>20</PartyAliasID>
        <PartyAliasName>בא כוח תובעים</PartyAliasName>
        <OrdinalNumber>1</OrdinalNumber>
        <LegalEntityID>415273</LegalEntityID>
        <CaseLegalEntityID>112906094</CaseLegalEntityID>
        <AuthenticationTypeID>4</AuthenticationTypeID>
        <AuthenticationTypeName>מ.ר.</AuthenticationTypeName>
        <LegalEntityNumber>40407</LegalEntityNumber>
        <IsMainPartyType>true</IsMainPartyType>
        <CaseDisplayIdentifier>4655-11-20</CaseDisplayIdentifier>
        <CaseTypeID>10262</CaseTypeID>
        <CaseTypeName>תביעה לאחר הסדר התדיינויות במשפחה (תלה"מ)</CaseTypeName>
        <CaseName>כהן נ' ברומנד</CaseName>
        <FullAddress>שמואל הנציב 24 נתניה .</FullAddress>
        <MotionID>0</MotionID>
        <CasePleaID>0</CasePleaID>
        <FatherName xml:space="preserve">        </FatherName>
        <LinkedCaseID>0</LinkedCaseID>
        <PartyID>1</PartyID>
        <CasePartyCategoryID>2</CasePartyCategoryID>
        <LegalEntityAddressID>72942259</LegalEntityAddressID>
        <PleaTypeID>4</PleaTypeID>
        <LawyerOfficeName>משרד עו"ד: מיטל וולבדכט</LawyerOfficeName>
        <LawyerOfficeID>455917</LawyerOfficeID>
        <GroupPartyAlias/>
        <IsConverted>false</IsConverted>
        <RepresentatedNamesOfAssistant/>
        <LegalEntityTypeID>4</LegalEntityTypeID>
        <IsVerdictExists>false</IsVerdictExists>
        <IsAsirAzir>false</IsAsirAzir>
        <IsPublicationProhibited>false</IsPublicationProhibited>
        <PublicationProhibitedFullName>מיטל וולבדכט</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זוהרה ברומנד</FullName>
        <FirstName>זוהרה</FirstName>
        <LastName>ברומנד</LastName>
        <PartyPropertyName/>
        <AuthenticationTypeAndNumber>ת"ז 068937077</AuthenticationTypeAndNumber>
        <RepresentatedOrRepresentativesNames>אברהם גפן, טל גרינברג</RepresentatedOrRepresentativesNames>
        <RepresentatedOrRepresentativesCount>2</RepresentatedOrRepresentativesCount>
        <InvitedBy/>
        <CaseID>77832106</CaseID>
        <CaseJudicialPersonPresentationDS>
          <CaseJudicalPersonActive>
            <CaseID>77832106</CaseID>
            <JudicialPersonID>024693871@GOV.IL</JudicialPersonID>
            <JudicialPersonTypeID>1</JudicialPersonTypeID>
            <JudicialTypeID>1</JudicialTypeID>
            <IsChairman>false</IsChairman>
            <TreatmentStartDate>2020-11-02T11:00:20.86+02:00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218170192</CasePartyID>
        <PartyTypeID>1</PartyTypeID>
        <ActivityStatusID>1</ActivityStatusID>
        <PartyAliasID>2</PartyAliasID>
        <PartyAliasName>נתבע</PartyAliasName>
        <OrdinalNumber>1</OrdinalNumber>
        <LegalEntityID>1506744</LegalEntityID>
        <CaseLegalEntityID>112906095</CaseLegalEntityID>
        <AuthenticationTypeID>1</AuthenticationTypeID>
        <AuthenticationTypeName>ת"ז</AuthenticationTypeName>
        <LegalEntityNumber>068937077</LegalEntityNumber>
        <IsMainPartyType>true</IsMainPartyType>
        <CaseDisplayIdentifier>4655-11-20</CaseDisplayIdentifier>
        <CaseTypeID>10262</CaseTypeID>
        <CaseTypeName>תביעה לאחר הסדר התדיינויות במשפחה (תלה"מ)</CaseTypeName>
        <CaseName>כהן נ' ברומנד</CaseName>
        <FullAddress>בר לב 108 תל אביב - יפו </FullAddress>
        <MotionID>0</MotionID>
        <CasePleaID>0</CasePleaID>
        <BirthDate>1960-01-01T00:00:00+02:00</BirthDate>
        <FatherName>עבדוללה </FatherName>
        <LinkedCaseID>0</LinkedCaseID>
        <PartyID>2</PartyID>
        <CasePartyCategoryID>2</CasePartyCategoryID>
        <LegalEntityAddressID>84480632</LegalEntityAddressID>
        <PleaTypeID>4</PleaTypeID>
        <GroupPartyAlias>נתבעים</GroupPartyAlias>
        <IsConverted>false</IsConverte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זוהרה ברומנד</PublicationProhibitedFullName>
      </CaseParties>
    </CasePartiesSelectionDS>
    <CaseName>כהן נ' ברומנד</CaseName>
    <CaseDisplayIdentifier>4655-11-20</CaseDisplayIdentifier>
    <CaseInterestID>10512</CaseInterestID>
    <CaseTypeShortName>תלה"מ</CaseTypeShortName>
  </dt_DecisionCase>
  <dt_DecisionJudgePanel>
    <JudgeID>024693871@GOV.IL</JudgeID>
    <DisplayName>יהורם שקד</DisplayName>
    <RoleName>שופט</RoleName>
    <UserTitleName>שופט</UserTitleName>
  </dt_DecisionJudgePanel>
  <dt_LegalEntityDetails>
    <Fax>03-9190134</Fax>
    <Phone>03-6136151</Phone>
    <PartyID>1</PartyID>
    <PartyTypeID>2</PartyTypeID>
    <DecisionID>0</DecisionID>
    <StreetName>מוטה גור 9</StreetName>
    <CityName>פתח תקווה</CityName>
    <FullName>קרין מלכה בר כליפא</FullName>
    <Email>karinbark864@gmail.com</Email>
    <IsPublicationProhibited>false</IsPublicationProhibited>
  </dt_LegalEntityDetails>
  <dt_LegalEntityDetails>
    <Fax>03-6932816</Fax>
    <Phone>03-6932815</Phone>
    <AddressDesc>קומה 12</AddressDesc>
    <PartyID>2</PartyID>
    <PartyTypeID>2</PartyTypeID>
    <DecisionID>0</DecisionID>
    <StreetName>יגאל אלון 94</StreetName>
    <CityName>תל אביב - יפו</CityName>
    <FullName>טל גרינברג</FullName>
    <IsPublicationProhibited>false</IsPublicationProhibited>
  </dt_LegalEntityDetails>
  <dt_LegalEntityDetails>
    <Fax>03-9791620</Fax>
    <Phone>03-9791621</Phone>
    <PartyTypeID>5</PartyTypeID>
    <DecisionID>0</DecisionID>
    <StreetName>עדולם  29</StreetName>
    <CityName>שוהם</CityName>
    <FullName>גיל קנטרוביץ</FullName>
    <IsPublicationProhibited>false</IsPublicationProhibited>
  </dt_LegalEntityDetails>
  <dt_LegalEntityDetails>
    <Fax>03-7714680</Fax>
    <Phone>03-6114407</Phone>
    <PartyID>2</PartyID>
    <PartyTypeID>2</PartyTypeID>
    <DecisionID>0</DecisionID>
    <StreetName>כנרת 5</StreetName>
    <ZipCode>5126237</ZipCode>
    <CityName>בני ברק</CityName>
    <FullName>אברהם גפן</FullName>
    <Email>avi@avigeffen.com</Email>
    <IsPublicationProhibited>false</IsPublicationProhibited>
  </dt_LegalEntityDetails>
  <dt_LegalEntityDetails>
    <PartyID>1</PartyID>
    <PartyTypeID>1</PartyTypeID>
    <DecisionID>0</DecisionID>
    <FullName>יוסף כהן</FullName>
    <IsPublicationProhibited>false</IsPublicationProhibited>
  </dt_LegalEntityDetails>
  <dt_LegalEntityDetails>
    <Fax>09-8629008</Fax>
    <Phone>09-8629006</Phone>
    <AddressDesc>.</AddressDesc>
    <PartyID>1</PartyID>
    <PartyTypeID>2</PartyTypeID>
    <DecisionID>0</DecisionID>
    <StreetName>שמואל הנציב 24</StreetName>
    <ZipCode>42118</ZipCode>
    <CityName>נתניה</CityName>
    <FullName>מיטל וולבדכט</FullName>
    <Email>wollbedachtlaw@gmail.com</Email>
    <IsPublicationProhibited>false</IsPublicationProhibited>
  </dt_LegalEntityDetails>
  <dt_LegalEntityDetails>
    <PartyID>2</PartyID>
    <PartyTypeID>1</PartyTypeID>
    <DecisionID>0</DecisionID>
    <StreetName>בר לב 108</StreetName>
    <CityName>תל אביב - יפו</CityName>
    <FullName>זוהרה ברומנד</FullName>
    <IsPublicationProhibited>false</IsPublicationProhibited>
  </dt_LegalEntityDetails>
  <dt_CaseJudicalPersonActive>
    <CaseJudicalPerson>שופט יהורם שקד</CaseJudicalPerson>
  </dt_CaseJudicalPersonActive>
  <dt_Sitting>
    <PreviousMeetingDate>2022-11-22T12:00:00+02:00</PreviousMeetingDate>
    <PreviousSittingTypeID>2</PreviousSittingTypeID>
    <PreviousMeetingDisplayName>שופט יהורם שקד</PreviousMeetingDisplayName>
    <PreviousMeetingRoleName>שופט</PreviousMeetingRoleName>
    <PreviousMeetingUserTitleName>שופט</PreviousMeetingUserTitleName>
    <PreviousMeetingUserUPN>024693871@GOV.IL</PreviousMeetingUserUPN>
  </dt_Sitting>
</DecisionTemplateDS>
</file>

<file path=customXml/itemProps1.xml><?xml version="1.0" encoding="utf-8"?>
<ds:datastoreItem xmlns:ds="http://schemas.openxmlformats.org/officeDocument/2006/customXml" ds:itemID="{3F46875F-D7E4-4702-88A3-18A3BE5C418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4870</Words>
  <Characters>24353</Characters>
  <Application>Microsoft Office Word</Application>
  <DocSecurity>0</DocSecurity>
  <Lines>202</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2023-11-27T10:17:00Z</cp:lastPrinted>
  <dcterms:created xsi:type="dcterms:W3CDTF">2023-11-30T07:28:00Z</dcterms:created>
  <dcterms:modified xsi:type="dcterms:W3CDTF">2023-11-30T07:28:00Z</dcterms:modified>
</cp:coreProperties>
</file>